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DA1" w:rsidRPr="00D12EC2" w:rsidRDefault="00DE02AB" w:rsidP="003E2DA1">
      <w:pPr>
        <w:spacing w:after="0" w:line="360" w:lineRule="auto"/>
        <w:jc w:val="both"/>
        <w:rPr>
          <w:rFonts w:ascii="Palatino Linotype" w:hAnsi="Palatino Linotype"/>
          <w:b/>
          <w:sz w:val="23"/>
          <w:szCs w:val="23"/>
        </w:rPr>
      </w:pPr>
      <w:r>
        <w:rPr>
          <w:rFonts w:ascii="Palatino Linotype" w:hAnsi="Palatino Linotype"/>
          <w:b/>
          <w:sz w:val="23"/>
          <w:szCs w:val="23"/>
        </w:rPr>
        <w:t>OPINIÓN</w:t>
      </w:r>
      <w:r w:rsidR="003E2DA1" w:rsidRPr="00D12EC2">
        <w:rPr>
          <w:rFonts w:ascii="Palatino Linotype" w:hAnsi="Palatino Linotype"/>
          <w:b/>
          <w:sz w:val="23"/>
          <w:szCs w:val="23"/>
        </w:rPr>
        <w:t xml:space="preserve"> PARTICULAR CONCURRENTE QUE FORMULAN LOS COMISIONADOS JAVIER MARTÍNEZ CRUZ</w:t>
      </w:r>
      <w:r w:rsidR="00F85CEF">
        <w:rPr>
          <w:rFonts w:ascii="Palatino Linotype" w:hAnsi="Palatino Linotype"/>
          <w:b/>
          <w:sz w:val="23"/>
          <w:szCs w:val="23"/>
        </w:rPr>
        <w:t xml:space="preserve"> Y </w:t>
      </w:r>
      <w:r w:rsidR="003E2DA1" w:rsidRPr="00D12EC2">
        <w:rPr>
          <w:rFonts w:ascii="Palatino Linotype" w:hAnsi="Palatino Linotype"/>
          <w:b/>
          <w:sz w:val="23"/>
          <w:szCs w:val="23"/>
        </w:rPr>
        <w:t xml:space="preserve">ZULEMA MARTÍNEZ SÁNCHEZ, EN RELACIÓN CON LA RESOLUCIÓN DICTADA POR EL PLENO DEL INSTITUTO DE TRANSPARENCIA, ACCESO A LA INFORMACIÓN PÚBLICA Y PROTECCIÓN DE DATOS PERSONALES DEL ESTADO DE MÉXICO Y MUNICIPIOS, EN LA </w:t>
      </w:r>
      <w:r w:rsidR="00F85CEF">
        <w:rPr>
          <w:rFonts w:ascii="Palatino Linotype" w:hAnsi="Palatino Linotype"/>
          <w:b/>
          <w:sz w:val="23"/>
          <w:szCs w:val="23"/>
        </w:rPr>
        <w:t>SEXTA</w:t>
      </w:r>
      <w:r w:rsidR="003E2DA1" w:rsidRPr="00D12EC2">
        <w:rPr>
          <w:rFonts w:ascii="Palatino Linotype" w:hAnsi="Palatino Linotype"/>
          <w:b/>
          <w:sz w:val="23"/>
          <w:szCs w:val="23"/>
        </w:rPr>
        <w:t xml:space="preserve"> SESIÓN ORDINARIA DEL </w:t>
      </w:r>
      <w:r w:rsidR="00F85CEF">
        <w:rPr>
          <w:rFonts w:ascii="Palatino Linotype" w:hAnsi="Palatino Linotype"/>
          <w:b/>
          <w:sz w:val="23"/>
          <w:szCs w:val="23"/>
        </w:rPr>
        <w:t>TRECE DE FEBRERO</w:t>
      </w:r>
      <w:r w:rsidR="003E2DA1" w:rsidRPr="00D12EC2">
        <w:rPr>
          <w:rFonts w:ascii="Palatino Linotype" w:hAnsi="Palatino Linotype"/>
          <w:b/>
          <w:sz w:val="23"/>
          <w:szCs w:val="23"/>
        </w:rPr>
        <w:t xml:space="preserve"> DE DOS MIL DIECI</w:t>
      </w:r>
      <w:r w:rsidR="00F85CEF">
        <w:rPr>
          <w:rFonts w:ascii="Palatino Linotype" w:hAnsi="Palatino Linotype"/>
          <w:b/>
          <w:sz w:val="23"/>
          <w:szCs w:val="23"/>
        </w:rPr>
        <w:t>NUEVE,</w:t>
      </w:r>
      <w:r w:rsidR="003E2DA1" w:rsidRPr="00D12EC2">
        <w:rPr>
          <w:rFonts w:ascii="Palatino Linotype" w:hAnsi="Palatino Linotype"/>
          <w:b/>
          <w:sz w:val="23"/>
          <w:szCs w:val="23"/>
        </w:rPr>
        <w:t xml:space="preserve"> EN EL RECURSO DE REVISIÓN 0</w:t>
      </w:r>
      <w:r w:rsidR="00F85CEF">
        <w:rPr>
          <w:rFonts w:ascii="Palatino Linotype" w:hAnsi="Palatino Linotype"/>
          <w:b/>
          <w:sz w:val="23"/>
          <w:szCs w:val="23"/>
        </w:rPr>
        <w:t>4393</w:t>
      </w:r>
      <w:r w:rsidR="003E2DA1" w:rsidRPr="00D12EC2">
        <w:rPr>
          <w:rFonts w:ascii="Palatino Linotype" w:hAnsi="Palatino Linotype"/>
          <w:b/>
          <w:sz w:val="23"/>
          <w:szCs w:val="23"/>
        </w:rPr>
        <w:t>/INFOEM/IP/RR/2018.</w:t>
      </w:r>
    </w:p>
    <w:p w:rsidR="003E2DA1" w:rsidRPr="00D12EC2" w:rsidRDefault="003E2DA1" w:rsidP="003E2DA1">
      <w:pPr>
        <w:spacing w:after="0" w:line="240" w:lineRule="auto"/>
        <w:jc w:val="both"/>
        <w:rPr>
          <w:rFonts w:ascii="Palatino Linotype" w:hAnsi="Palatino Linotype"/>
          <w:b/>
          <w:sz w:val="23"/>
          <w:szCs w:val="23"/>
        </w:rPr>
      </w:pPr>
    </w:p>
    <w:p w:rsidR="003E2DA1" w:rsidRPr="00D12EC2" w:rsidRDefault="003E2DA1" w:rsidP="00A229D2">
      <w:pPr>
        <w:spacing w:before="240" w:after="240" w:line="360" w:lineRule="auto"/>
        <w:jc w:val="both"/>
        <w:rPr>
          <w:rFonts w:ascii="Palatino Linotype" w:hAnsi="Palatino Linotype"/>
          <w:sz w:val="23"/>
          <w:szCs w:val="23"/>
        </w:rPr>
      </w:pPr>
      <w:r w:rsidRPr="00D12EC2">
        <w:rPr>
          <w:rFonts w:ascii="Palatino Linotype" w:hAnsi="Palatino Linotype"/>
          <w:sz w:val="23"/>
          <w:szCs w:val="23"/>
        </w:rPr>
        <w:t xml:space="preserve">Con fundamento en lo dispuesto por el artículo 14 fracción XI del Reglamento Interior del Instituto de Transparencia, Acceso a la Información Pública y Protección de Datos Personales del Estado de México y Municipios, los Comisionados Javier Martínez Cruz </w:t>
      </w:r>
      <w:r w:rsidR="00F85CEF">
        <w:rPr>
          <w:rFonts w:ascii="Palatino Linotype" w:hAnsi="Palatino Linotype"/>
          <w:sz w:val="23"/>
          <w:szCs w:val="23"/>
        </w:rPr>
        <w:t xml:space="preserve">y </w:t>
      </w:r>
      <w:r w:rsidRPr="00D12EC2">
        <w:rPr>
          <w:rFonts w:ascii="Palatino Linotype" w:hAnsi="Palatino Linotype"/>
          <w:sz w:val="23"/>
          <w:szCs w:val="23"/>
        </w:rPr>
        <w:t xml:space="preserve">Zulema Martínez Sánchez emiten </w:t>
      </w:r>
      <w:r w:rsidR="005A1CCF">
        <w:rPr>
          <w:rFonts w:ascii="Palatino Linotype" w:hAnsi="Palatino Linotype"/>
          <w:b/>
          <w:sz w:val="23"/>
          <w:szCs w:val="23"/>
        </w:rPr>
        <w:t>OPINIÓN</w:t>
      </w:r>
      <w:r w:rsidRPr="00D12EC2">
        <w:rPr>
          <w:rFonts w:ascii="Palatino Linotype" w:hAnsi="Palatino Linotype"/>
          <w:b/>
          <w:sz w:val="23"/>
          <w:szCs w:val="23"/>
        </w:rPr>
        <w:t xml:space="preserve"> PARTICULAR CONCURRENTE </w:t>
      </w:r>
      <w:r w:rsidRPr="00D12EC2">
        <w:rPr>
          <w:rFonts w:ascii="Palatino Linotype" w:hAnsi="Palatino Linotype"/>
          <w:sz w:val="23"/>
          <w:szCs w:val="23"/>
        </w:rPr>
        <w:t>respecto a la resolución dictada en el recurso de revisión número 0</w:t>
      </w:r>
      <w:r w:rsidR="00F85CEF">
        <w:rPr>
          <w:rFonts w:ascii="Palatino Linotype" w:hAnsi="Palatino Linotype"/>
          <w:sz w:val="23"/>
          <w:szCs w:val="23"/>
        </w:rPr>
        <w:t>4393</w:t>
      </w:r>
      <w:r w:rsidRPr="00D12EC2">
        <w:rPr>
          <w:rFonts w:ascii="Palatino Linotype" w:hAnsi="Palatino Linotype"/>
          <w:sz w:val="23"/>
          <w:szCs w:val="23"/>
        </w:rPr>
        <w:t xml:space="preserve">/INFOEM/IP/RR/2018, pronunciada por el Pleno de este Instituto ante el proyecto presentado por </w:t>
      </w:r>
      <w:r w:rsidR="00F85CEF">
        <w:rPr>
          <w:rFonts w:ascii="Palatino Linotype" w:hAnsi="Palatino Linotype"/>
          <w:sz w:val="23"/>
          <w:szCs w:val="23"/>
        </w:rPr>
        <w:t>e</w:t>
      </w:r>
      <w:r w:rsidRPr="00D12EC2">
        <w:rPr>
          <w:rFonts w:ascii="Palatino Linotype" w:hAnsi="Palatino Linotype"/>
          <w:sz w:val="23"/>
          <w:szCs w:val="23"/>
        </w:rPr>
        <w:t>l Comisionad</w:t>
      </w:r>
      <w:r w:rsidR="00F85CEF">
        <w:rPr>
          <w:rFonts w:ascii="Palatino Linotype" w:hAnsi="Palatino Linotype"/>
          <w:sz w:val="23"/>
          <w:szCs w:val="23"/>
        </w:rPr>
        <w:t>o</w:t>
      </w:r>
      <w:r w:rsidRPr="00D12EC2">
        <w:rPr>
          <w:rFonts w:ascii="Palatino Linotype" w:hAnsi="Palatino Linotype"/>
          <w:sz w:val="23"/>
          <w:szCs w:val="23"/>
        </w:rPr>
        <w:t xml:space="preserve"> </w:t>
      </w:r>
      <w:r w:rsidR="00F85CEF">
        <w:rPr>
          <w:rFonts w:ascii="Palatino Linotype" w:hAnsi="Palatino Linotype"/>
          <w:sz w:val="23"/>
          <w:szCs w:val="23"/>
        </w:rPr>
        <w:t>José Guadalupe Luna Hernández</w:t>
      </w:r>
      <w:r w:rsidRPr="00D12EC2">
        <w:rPr>
          <w:rFonts w:ascii="Palatino Linotype" w:hAnsi="Palatino Linotype"/>
          <w:sz w:val="23"/>
          <w:szCs w:val="23"/>
        </w:rPr>
        <w:t xml:space="preserve">. </w:t>
      </w:r>
    </w:p>
    <w:p w:rsidR="003E2DA1" w:rsidRDefault="005A1CCF" w:rsidP="00A229D2">
      <w:pPr>
        <w:spacing w:before="240" w:after="240" w:line="360" w:lineRule="auto"/>
        <w:jc w:val="both"/>
        <w:rPr>
          <w:rFonts w:ascii="Palatino Linotype" w:hAnsi="Palatino Linotype"/>
          <w:color w:val="000000" w:themeColor="text1"/>
          <w:sz w:val="24"/>
          <w:szCs w:val="24"/>
        </w:rPr>
      </w:pPr>
      <w:r>
        <w:rPr>
          <w:rFonts w:ascii="Palatino Linotype" w:hAnsi="Palatino Linotype"/>
          <w:sz w:val="23"/>
          <w:szCs w:val="23"/>
        </w:rPr>
        <w:t xml:space="preserve">Derivado de que si bien, </w:t>
      </w:r>
      <w:r w:rsidR="003E2DA1" w:rsidRPr="00D12EC2">
        <w:rPr>
          <w:rFonts w:ascii="Palatino Linotype" w:hAnsi="Palatino Linotype"/>
          <w:sz w:val="23"/>
          <w:szCs w:val="23"/>
        </w:rPr>
        <w:t>los suscritos en términos generales coincidimos</w:t>
      </w:r>
      <w:r w:rsidR="00A8492C">
        <w:rPr>
          <w:rFonts w:ascii="Palatino Linotype" w:hAnsi="Palatino Linotype"/>
          <w:sz w:val="23"/>
          <w:szCs w:val="23"/>
        </w:rPr>
        <w:t xml:space="preserve"> en el sentido de la resolución, también lo es que consideramos necesario hacer algunas precisiones</w:t>
      </w:r>
      <w:r w:rsidR="00941C6F">
        <w:rPr>
          <w:rFonts w:ascii="Palatino Linotype" w:hAnsi="Palatino Linotype"/>
          <w:sz w:val="23"/>
          <w:szCs w:val="23"/>
        </w:rPr>
        <w:t xml:space="preserve">, en ese sentido vale la pena recordar que el particular solicitó </w:t>
      </w:r>
      <w:r w:rsidR="00941C6F" w:rsidRPr="00941C6F">
        <w:rPr>
          <w:rFonts w:ascii="Palatino Linotype" w:hAnsi="Palatino Linotype"/>
          <w:color w:val="000000" w:themeColor="text1"/>
          <w:sz w:val="24"/>
          <w:szCs w:val="24"/>
        </w:rPr>
        <w:t xml:space="preserve">recibos de nómina de las servidoras públicas </w:t>
      </w:r>
      <w:r w:rsidR="004C2709">
        <w:rPr>
          <w:rFonts w:ascii="Palatino Linotype" w:hAnsi="Palatino Linotype"/>
          <w:color w:val="000000" w:themeColor="text1"/>
          <w:sz w:val="24"/>
          <w:szCs w:val="24"/>
        </w:rPr>
        <w:t>XXXXXXXXXXXXXXXXXXXXX</w:t>
      </w:r>
      <w:r w:rsidR="001E3290" w:rsidRPr="001E3290">
        <w:rPr>
          <w:rFonts w:ascii="Palatino Linotype" w:hAnsi="Palatino Linotype"/>
          <w:color w:val="000000" w:themeColor="text1"/>
          <w:sz w:val="24"/>
          <w:szCs w:val="24"/>
        </w:rPr>
        <w:t xml:space="preserve"> y </w:t>
      </w:r>
      <w:r w:rsidR="004C2709">
        <w:rPr>
          <w:rFonts w:ascii="Palatino Linotype" w:hAnsi="Palatino Linotype"/>
          <w:color w:val="000000" w:themeColor="text1"/>
          <w:sz w:val="24"/>
          <w:szCs w:val="24"/>
        </w:rPr>
        <w:t>XXXXXXXXXXXXXXXXXXXXXXXXX</w:t>
      </w:r>
      <w:bookmarkStart w:id="0" w:name="_GoBack"/>
      <w:bookmarkEnd w:id="0"/>
      <w:r w:rsidR="001E655D">
        <w:rPr>
          <w:rFonts w:ascii="Palatino Linotype" w:hAnsi="Palatino Linotype"/>
          <w:color w:val="000000" w:themeColor="text1"/>
          <w:sz w:val="24"/>
          <w:szCs w:val="24"/>
        </w:rPr>
        <w:t xml:space="preserve">, </w:t>
      </w:r>
      <w:r w:rsidR="0085031D">
        <w:rPr>
          <w:rFonts w:ascii="Palatino Linotype" w:hAnsi="Palatino Linotype"/>
          <w:color w:val="000000" w:themeColor="text1"/>
          <w:sz w:val="24"/>
          <w:szCs w:val="24"/>
        </w:rPr>
        <w:t>así</w:t>
      </w:r>
      <w:r w:rsidR="001E655D">
        <w:rPr>
          <w:rFonts w:ascii="Palatino Linotype" w:hAnsi="Palatino Linotype"/>
          <w:color w:val="000000" w:themeColor="text1"/>
          <w:sz w:val="24"/>
          <w:szCs w:val="24"/>
        </w:rPr>
        <w:t xml:space="preserve"> como el </w:t>
      </w:r>
      <w:r w:rsidR="00941C6F" w:rsidRPr="00941C6F">
        <w:rPr>
          <w:rFonts w:ascii="Palatino Linotype" w:hAnsi="Palatino Linotype"/>
          <w:color w:val="000000" w:themeColor="text1"/>
          <w:sz w:val="24"/>
          <w:szCs w:val="24"/>
        </w:rPr>
        <w:t xml:space="preserve">documento que demuestre el último grado de estudios de </w:t>
      </w:r>
      <w:r w:rsidR="00941C6F">
        <w:rPr>
          <w:rFonts w:ascii="Palatino Linotype" w:hAnsi="Palatino Linotype"/>
          <w:color w:val="000000" w:themeColor="text1"/>
          <w:sz w:val="24"/>
          <w:szCs w:val="24"/>
        </w:rPr>
        <w:t>estas.</w:t>
      </w:r>
    </w:p>
    <w:p w:rsidR="00941C6F" w:rsidRDefault="00941C6F" w:rsidP="00A229D2">
      <w:pPr>
        <w:spacing w:before="240" w:after="240" w:line="360" w:lineRule="auto"/>
        <w:jc w:val="both"/>
        <w:rPr>
          <w:rFonts w:ascii="Palatino Linotype" w:hAnsi="Palatino Linotype"/>
          <w:color w:val="000000" w:themeColor="text1"/>
          <w:sz w:val="24"/>
          <w:szCs w:val="24"/>
        </w:rPr>
      </w:pPr>
      <w:r>
        <w:rPr>
          <w:rFonts w:ascii="Palatino Linotype" w:hAnsi="Palatino Linotype"/>
          <w:color w:val="000000" w:themeColor="text1"/>
          <w:sz w:val="24"/>
          <w:szCs w:val="24"/>
        </w:rPr>
        <w:lastRenderedPageBreak/>
        <w:t>Así, cabe retomar que, en respuesta la Secretaría de Seguridad indicó que los recibos de nómina de los servidores públicos se obtienen de manera personal por cada uno</w:t>
      </w:r>
      <w:r w:rsidR="00B56C7E">
        <w:rPr>
          <w:rFonts w:ascii="Palatino Linotype" w:hAnsi="Palatino Linotype"/>
          <w:color w:val="000000" w:themeColor="text1"/>
          <w:sz w:val="24"/>
          <w:szCs w:val="24"/>
        </w:rPr>
        <w:t>,</w:t>
      </w:r>
      <w:r>
        <w:rPr>
          <w:rFonts w:ascii="Palatino Linotype" w:hAnsi="Palatino Linotype"/>
          <w:color w:val="000000" w:themeColor="text1"/>
          <w:sz w:val="24"/>
          <w:szCs w:val="24"/>
        </w:rPr>
        <w:t xml:space="preserve"> a través del Portal de Gestión Interna </w:t>
      </w:r>
      <w:r w:rsidR="00B47983">
        <w:rPr>
          <w:rFonts w:ascii="Palatino Linotype" w:hAnsi="Palatino Linotype"/>
          <w:color w:val="000000" w:themeColor="text1"/>
          <w:sz w:val="24"/>
          <w:szCs w:val="24"/>
        </w:rPr>
        <w:t>G2G, por lo que se carece de la información, además de anexar en formato PDF los comprobantes de último de grado de estudios.</w:t>
      </w:r>
    </w:p>
    <w:p w:rsidR="00B47983" w:rsidRDefault="00B47983" w:rsidP="00A229D2">
      <w:pPr>
        <w:spacing w:before="240" w:after="240" w:line="360" w:lineRule="auto"/>
        <w:jc w:val="both"/>
        <w:rPr>
          <w:rFonts w:ascii="Palatino Linotype" w:hAnsi="Palatino Linotype"/>
          <w:color w:val="000000" w:themeColor="text1"/>
          <w:sz w:val="24"/>
          <w:szCs w:val="24"/>
        </w:rPr>
      </w:pPr>
      <w:r>
        <w:rPr>
          <w:rFonts w:ascii="Palatino Linotype" w:hAnsi="Palatino Linotype"/>
          <w:color w:val="000000" w:themeColor="text1"/>
          <w:sz w:val="24"/>
          <w:szCs w:val="24"/>
        </w:rPr>
        <w:t>Inconforme con la respuesta proporcionada, el particular indicó como agravios, que no se le entregaron los recibos de nómina solicitados, siendo que en sus archivos se encuentra copia de los mismos.</w:t>
      </w:r>
    </w:p>
    <w:p w:rsidR="000C14DA" w:rsidRPr="00525289" w:rsidRDefault="00B47983" w:rsidP="00A229D2">
      <w:pPr>
        <w:spacing w:before="240" w:after="240" w:line="360" w:lineRule="auto"/>
        <w:jc w:val="both"/>
        <w:rPr>
          <w:rFonts w:ascii="Palatino Linotype" w:hAnsi="Palatino Linotype"/>
          <w:color w:val="000000" w:themeColor="text1"/>
          <w:sz w:val="24"/>
          <w:szCs w:val="24"/>
        </w:rPr>
      </w:pPr>
      <w:r w:rsidRPr="00525289">
        <w:rPr>
          <w:rFonts w:ascii="Palatino Linotype" w:hAnsi="Palatino Linotype"/>
          <w:color w:val="000000" w:themeColor="text1"/>
          <w:sz w:val="24"/>
          <w:szCs w:val="24"/>
        </w:rPr>
        <w:t xml:space="preserve">Posteriormente al rendir su informe justificado, el Sujeto Obligado puso a disposición del particular </w:t>
      </w:r>
      <w:r w:rsidR="00644DDA" w:rsidRPr="00525289">
        <w:rPr>
          <w:rFonts w:ascii="Palatino Linotype" w:hAnsi="Palatino Linotype"/>
          <w:color w:val="000000" w:themeColor="text1"/>
          <w:sz w:val="24"/>
          <w:szCs w:val="24"/>
        </w:rPr>
        <w:t xml:space="preserve">el </w:t>
      </w:r>
      <w:r w:rsidR="00644DDA" w:rsidRPr="00525289">
        <w:rPr>
          <w:rFonts w:ascii="Palatino Linotype" w:eastAsia="Times New Roman" w:hAnsi="Palatino Linotype"/>
          <w:color w:val="000000" w:themeColor="text1"/>
          <w:sz w:val="24"/>
          <w:szCs w:val="24"/>
        </w:rPr>
        <w:t>“Acta de la Primera Sesión Ordinaria del Comité de Transparencia de la Secretaría de Seguridad del Estado de México” que sustenta la versión pública de los comprobantes de último</w:t>
      </w:r>
      <w:r w:rsidR="006E30CD" w:rsidRPr="00525289">
        <w:rPr>
          <w:rFonts w:ascii="Palatino Linotype" w:eastAsia="Times New Roman" w:hAnsi="Palatino Linotype"/>
          <w:color w:val="000000" w:themeColor="text1"/>
          <w:sz w:val="24"/>
          <w:szCs w:val="24"/>
        </w:rPr>
        <w:t xml:space="preserve"> grado de estudios, </w:t>
      </w:r>
      <w:r w:rsidR="000C14DA" w:rsidRPr="00525289">
        <w:rPr>
          <w:rFonts w:ascii="Palatino Linotype" w:eastAsia="Times New Roman" w:hAnsi="Palatino Linotype"/>
          <w:color w:val="000000" w:themeColor="text1"/>
          <w:sz w:val="24"/>
          <w:szCs w:val="24"/>
        </w:rPr>
        <w:t>así como los recibos de nómina.</w:t>
      </w:r>
      <w:r w:rsidR="005943FF" w:rsidRPr="00525289">
        <w:rPr>
          <w:rFonts w:ascii="Palatino Linotype" w:eastAsia="Times New Roman" w:hAnsi="Palatino Linotype"/>
          <w:color w:val="000000" w:themeColor="text1"/>
          <w:sz w:val="24"/>
          <w:szCs w:val="24"/>
        </w:rPr>
        <w:t xml:space="preserve"> </w:t>
      </w:r>
      <w:r w:rsidR="000C14DA" w:rsidRPr="00525289">
        <w:rPr>
          <w:rFonts w:ascii="Palatino Linotype" w:eastAsia="Times New Roman" w:hAnsi="Palatino Linotype"/>
          <w:color w:val="000000" w:themeColor="text1"/>
          <w:sz w:val="24"/>
          <w:szCs w:val="24"/>
        </w:rPr>
        <w:t xml:space="preserve">Sin embargo, la Ponencia que resuelve determinó no hacer del conocimiento del particular los recibos de nómina, </w:t>
      </w:r>
      <w:r w:rsidR="00127698" w:rsidRPr="00525289">
        <w:rPr>
          <w:rFonts w:ascii="Palatino Linotype" w:eastAsia="Times New Roman" w:hAnsi="Palatino Linotype"/>
          <w:color w:val="000000" w:themeColor="text1"/>
          <w:sz w:val="24"/>
          <w:szCs w:val="24"/>
        </w:rPr>
        <w:t>por no encontrarse la versión pública ajustada a derecho.</w:t>
      </w:r>
    </w:p>
    <w:p w:rsidR="0030741A" w:rsidRDefault="00127698" w:rsidP="00127698">
      <w:pPr>
        <w:spacing w:before="240" w:after="0" w:line="360" w:lineRule="auto"/>
        <w:jc w:val="both"/>
        <w:rPr>
          <w:rFonts w:ascii="Palatino Linotype" w:hAnsi="Palatino Linotype" w:cs="Arial"/>
          <w:sz w:val="23"/>
          <w:szCs w:val="23"/>
        </w:rPr>
      </w:pPr>
      <w:r>
        <w:rPr>
          <w:rFonts w:ascii="Palatino Linotype" w:hAnsi="Palatino Linotype" w:cs="Arial"/>
          <w:sz w:val="23"/>
          <w:szCs w:val="23"/>
        </w:rPr>
        <w:t xml:space="preserve">En ese sentido, si bien del estudio planteado, se advierte un análisis minucioso a los supuestos de clasificación de la información, también consideramos que el mismo no </w:t>
      </w:r>
      <w:r w:rsidR="008E77F3">
        <w:rPr>
          <w:rFonts w:ascii="Palatino Linotype" w:hAnsi="Palatino Linotype" w:cs="Arial"/>
          <w:sz w:val="23"/>
          <w:szCs w:val="23"/>
        </w:rPr>
        <w:t xml:space="preserve">es </w:t>
      </w:r>
      <w:r>
        <w:rPr>
          <w:rFonts w:ascii="Palatino Linotype" w:hAnsi="Palatino Linotype" w:cs="Arial"/>
          <w:sz w:val="23"/>
          <w:szCs w:val="23"/>
        </w:rPr>
        <w:t>suficiente</w:t>
      </w:r>
      <w:r w:rsidR="003E2DA1" w:rsidRPr="00D12EC2">
        <w:rPr>
          <w:rFonts w:ascii="Palatino Linotype" w:hAnsi="Palatino Linotype" w:cs="Arial"/>
          <w:sz w:val="23"/>
          <w:szCs w:val="23"/>
        </w:rPr>
        <w:t xml:space="preserve"> para cumplir con </w:t>
      </w:r>
      <w:r>
        <w:rPr>
          <w:rFonts w:ascii="Palatino Linotype" w:hAnsi="Palatino Linotype" w:cs="Arial"/>
          <w:sz w:val="23"/>
          <w:szCs w:val="23"/>
        </w:rPr>
        <w:t>la entrega de la información</w:t>
      </w:r>
      <w:r w:rsidR="003E2DA1" w:rsidRPr="00D12EC2">
        <w:rPr>
          <w:rFonts w:ascii="Palatino Linotype" w:hAnsi="Palatino Linotype" w:cs="Arial"/>
          <w:sz w:val="23"/>
          <w:szCs w:val="23"/>
        </w:rPr>
        <w:t xml:space="preserve">, </w:t>
      </w:r>
      <w:r>
        <w:rPr>
          <w:rFonts w:ascii="Palatino Linotype" w:hAnsi="Palatino Linotype" w:cs="Arial"/>
          <w:sz w:val="23"/>
          <w:szCs w:val="23"/>
        </w:rPr>
        <w:t xml:space="preserve">toda vez la solicitud de información radica sobre dos </w:t>
      </w:r>
      <w:r w:rsidR="003E2DA1" w:rsidRPr="00D12EC2">
        <w:rPr>
          <w:rFonts w:ascii="Palatino Linotype" w:hAnsi="Palatino Linotype" w:cs="Arial"/>
          <w:sz w:val="23"/>
          <w:szCs w:val="23"/>
        </w:rPr>
        <w:t xml:space="preserve">servidores públicos adscritos a la </w:t>
      </w:r>
      <w:r>
        <w:rPr>
          <w:rFonts w:ascii="Palatino Linotype" w:hAnsi="Palatino Linotype" w:cs="Arial"/>
          <w:sz w:val="23"/>
          <w:szCs w:val="23"/>
        </w:rPr>
        <w:t xml:space="preserve">Secretaría de Seguridad, </w:t>
      </w:r>
      <w:r w:rsidR="0030741A">
        <w:rPr>
          <w:rFonts w:ascii="Palatino Linotype" w:hAnsi="Palatino Linotype" w:cs="Arial"/>
          <w:sz w:val="23"/>
          <w:szCs w:val="23"/>
        </w:rPr>
        <w:t>cuya revelación puede poner en riesgo la vida e integridad física con motivo de sus funciones.</w:t>
      </w:r>
    </w:p>
    <w:p w:rsidR="003E2DA1" w:rsidRPr="00D12EC2" w:rsidRDefault="00D1734B" w:rsidP="00127698">
      <w:pPr>
        <w:spacing w:before="240" w:after="0" w:line="360" w:lineRule="auto"/>
        <w:jc w:val="both"/>
        <w:rPr>
          <w:rFonts w:ascii="Palatino Linotype" w:hAnsi="Palatino Linotype" w:cs="Arial"/>
          <w:sz w:val="23"/>
          <w:szCs w:val="23"/>
        </w:rPr>
      </w:pPr>
      <w:r>
        <w:rPr>
          <w:rFonts w:ascii="Palatino Linotype" w:hAnsi="Palatino Linotype" w:cs="Arial"/>
          <w:sz w:val="23"/>
          <w:szCs w:val="23"/>
        </w:rPr>
        <w:lastRenderedPageBreak/>
        <w:t xml:space="preserve">Bajo dichas circunstancias, ha sido criterio de los suscritos, que el </w:t>
      </w:r>
      <w:r w:rsidRPr="00D12EC2">
        <w:rPr>
          <w:rFonts w:ascii="Palatino Linotype" w:hAnsi="Palatino Linotype" w:cs="Arial"/>
          <w:sz w:val="23"/>
          <w:szCs w:val="23"/>
        </w:rPr>
        <w:t>nombre de los servidores públicos adscri</w:t>
      </w:r>
      <w:r>
        <w:rPr>
          <w:rFonts w:ascii="Palatino Linotype" w:hAnsi="Palatino Linotype" w:cs="Arial"/>
          <w:sz w:val="23"/>
          <w:szCs w:val="23"/>
        </w:rPr>
        <w:t xml:space="preserve">tos a los cuerpos de seguridad </w:t>
      </w:r>
      <w:r w:rsidRPr="00D12EC2">
        <w:rPr>
          <w:rFonts w:ascii="Palatino Linotype" w:hAnsi="Palatino Linotype" w:cs="Arial"/>
          <w:sz w:val="23"/>
          <w:szCs w:val="23"/>
        </w:rPr>
        <w:t>debe ser pr</w:t>
      </w:r>
      <w:r>
        <w:rPr>
          <w:rFonts w:ascii="Palatino Linotype" w:hAnsi="Palatino Linotype" w:cs="Arial"/>
          <w:sz w:val="23"/>
          <w:szCs w:val="23"/>
        </w:rPr>
        <w:t>otegido por este Órgano Garante, a efectos de que no se permitan hacer identificados o identificables a dichos individuos, s</w:t>
      </w:r>
      <w:r w:rsidR="009A43D5">
        <w:rPr>
          <w:rFonts w:ascii="Palatino Linotype" w:hAnsi="Palatino Linotype" w:cs="Arial"/>
          <w:sz w:val="23"/>
          <w:szCs w:val="23"/>
        </w:rPr>
        <w:t>i</w:t>
      </w:r>
      <w:r>
        <w:rPr>
          <w:rFonts w:ascii="Palatino Linotype" w:hAnsi="Palatino Linotype" w:cs="Arial"/>
          <w:sz w:val="23"/>
          <w:szCs w:val="23"/>
        </w:rPr>
        <w:t>n embargo, en el asunto que nos ocupa, el solicitante de la información, de manera clara y precisa señaló el nombre de los servidores públicos de los cuales requiere información, en ese sentido, consideramos que no basta con testar el cargo de las servidoras públicas en cuestión, puesto que los argumentos que usara para dicha procedimiento permitirán vislumbrar el cargo que ostentan.</w:t>
      </w:r>
    </w:p>
    <w:p w:rsidR="003E2DA1" w:rsidRPr="00D12EC2" w:rsidRDefault="00D1734B" w:rsidP="00A229D2">
      <w:pPr>
        <w:shd w:val="clear" w:color="auto" w:fill="FFFFFF"/>
        <w:spacing w:before="240" w:after="240" w:line="360" w:lineRule="auto"/>
        <w:jc w:val="both"/>
        <w:rPr>
          <w:rFonts w:ascii="Palatino Linotype" w:hAnsi="Palatino Linotype"/>
          <w:sz w:val="23"/>
          <w:szCs w:val="23"/>
          <w:lang w:eastAsia="es-MX"/>
        </w:rPr>
      </w:pPr>
      <w:r>
        <w:rPr>
          <w:rFonts w:ascii="Palatino Linotype" w:hAnsi="Palatino Linotype" w:cs="Arial"/>
          <w:sz w:val="23"/>
          <w:szCs w:val="23"/>
        </w:rPr>
        <w:t xml:space="preserve">En ese tenor, los </w:t>
      </w:r>
      <w:r w:rsidR="003E2DA1" w:rsidRPr="00D12EC2">
        <w:rPr>
          <w:rFonts w:ascii="Palatino Linotype" w:hAnsi="Palatino Linotype"/>
          <w:sz w:val="23"/>
          <w:szCs w:val="23"/>
          <w:lang w:eastAsia="es-MX"/>
        </w:rPr>
        <w:t xml:space="preserve">artículos 52 de la Ley de Transparencia y Acceso a la Información Pública del Estado de México en relación directa con el 21 y 39 de la Ley de Protección de Datos Personales en Posesión de Sujetos Obligados del Estado de México, permiten someter la información a un proceso de disociación, de tal modo que no se haga identificable al titular de los datos personales, o bien que se apliquen las medidas técnicas y administrativas apropiadas tales como la anonimización, seudonimización o el cifrado de datos personales, tendientes a evitar la asociación de los datos personales con su titular, sobre este punto en particular, a consideración de los suscritos debió ordenarse que se entregara la información aplicando la </w:t>
      </w:r>
      <w:r w:rsidR="00C96610">
        <w:rPr>
          <w:rFonts w:ascii="Palatino Linotype" w:hAnsi="Palatino Linotype"/>
          <w:sz w:val="23"/>
          <w:szCs w:val="23"/>
          <w:lang w:eastAsia="es-MX"/>
        </w:rPr>
        <w:t>seudonimización</w:t>
      </w:r>
      <w:r w:rsidR="003E2DA1" w:rsidRPr="00D12EC2">
        <w:rPr>
          <w:rFonts w:ascii="Palatino Linotype" w:hAnsi="Palatino Linotype"/>
          <w:sz w:val="23"/>
          <w:szCs w:val="23"/>
          <w:lang w:eastAsia="es-MX"/>
        </w:rPr>
        <w:t xml:space="preserve"> contemplada en el artículo 4 fracción </w:t>
      </w:r>
      <w:r w:rsidR="00C96610">
        <w:rPr>
          <w:rFonts w:ascii="Palatino Linotype" w:hAnsi="Palatino Linotype"/>
          <w:sz w:val="23"/>
          <w:szCs w:val="23"/>
          <w:lang w:eastAsia="es-MX"/>
        </w:rPr>
        <w:t>XL</w:t>
      </w:r>
      <w:r w:rsidR="003E2DA1" w:rsidRPr="00D12EC2">
        <w:rPr>
          <w:rFonts w:ascii="Palatino Linotype" w:hAnsi="Palatino Linotype"/>
          <w:sz w:val="23"/>
          <w:szCs w:val="23"/>
          <w:lang w:eastAsia="es-MX"/>
        </w:rPr>
        <w:t xml:space="preserve">II de la Ley de Protección de Datos Personales vigente en la </w:t>
      </w:r>
      <w:r w:rsidR="007E7E8E">
        <w:rPr>
          <w:rFonts w:ascii="Palatino Linotype" w:hAnsi="Palatino Linotype"/>
          <w:sz w:val="23"/>
          <w:szCs w:val="23"/>
          <w:lang w:eastAsia="es-MX"/>
        </w:rPr>
        <w:t>E</w:t>
      </w:r>
      <w:r w:rsidR="003E2DA1" w:rsidRPr="00D12EC2">
        <w:rPr>
          <w:rFonts w:ascii="Palatino Linotype" w:hAnsi="Palatino Linotype"/>
          <w:sz w:val="23"/>
          <w:szCs w:val="23"/>
          <w:lang w:eastAsia="es-MX"/>
        </w:rPr>
        <w:t xml:space="preserve">ntidad. </w:t>
      </w:r>
    </w:p>
    <w:p w:rsidR="00C96610" w:rsidRDefault="003E2DA1" w:rsidP="003E2DA1">
      <w:pPr>
        <w:shd w:val="clear" w:color="auto" w:fill="FFFFFF"/>
        <w:spacing w:after="240" w:line="360" w:lineRule="auto"/>
        <w:jc w:val="both"/>
        <w:rPr>
          <w:rFonts w:ascii="Palatino Linotype" w:hAnsi="Palatino Linotype"/>
          <w:color w:val="222222"/>
          <w:sz w:val="23"/>
          <w:szCs w:val="23"/>
          <w:lang w:eastAsia="es-MX"/>
        </w:rPr>
      </w:pPr>
      <w:r w:rsidRPr="00D12EC2">
        <w:rPr>
          <w:rFonts w:ascii="Palatino Linotype" w:hAnsi="Palatino Linotype"/>
          <w:sz w:val="23"/>
          <w:szCs w:val="23"/>
          <w:lang w:eastAsia="es-MX"/>
        </w:rPr>
        <w:t xml:space="preserve">Al respecto, es preciso mencionar que </w:t>
      </w:r>
      <w:r w:rsidRPr="00D12EC2">
        <w:rPr>
          <w:rFonts w:ascii="Palatino Linotype" w:hAnsi="Palatino Linotype"/>
          <w:color w:val="222222"/>
          <w:sz w:val="23"/>
          <w:szCs w:val="23"/>
          <w:lang w:eastAsia="es-MX"/>
        </w:rPr>
        <w:t xml:space="preserve">la </w:t>
      </w:r>
      <w:r w:rsidR="00C96610">
        <w:rPr>
          <w:rFonts w:ascii="Palatino Linotype" w:hAnsi="Palatino Linotype"/>
          <w:color w:val="222222"/>
          <w:sz w:val="23"/>
          <w:szCs w:val="23"/>
          <w:lang w:eastAsia="es-MX"/>
        </w:rPr>
        <w:t>seudonimización</w:t>
      </w:r>
      <w:r w:rsidRPr="00D12EC2">
        <w:rPr>
          <w:rFonts w:ascii="Palatino Linotype" w:hAnsi="Palatino Linotype"/>
          <w:color w:val="222222"/>
          <w:sz w:val="23"/>
          <w:szCs w:val="23"/>
          <w:lang w:eastAsia="es-MX"/>
        </w:rPr>
        <w:t xml:space="preserve"> es el proceso que </w:t>
      </w:r>
      <w:r w:rsidR="00C96610">
        <w:rPr>
          <w:rFonts w:ascii="Palatino Linotype" w:hAnsi="Palatino Linotype"/>
          <w:color w:val="222222"/>
          <w:sz w:val="23"/>
          <w:szCs w:val="23"/>
          <w:lang w:eastAsia="es-MX"/>
        </w:rPr>
        <w:t xml:space="preserve">impide puedan atribuirse los datos personales a su titular, cuando no se utilice información adicional, porque esta figura por separado sujeta a medidas técnicas y organizativas </w:t>
      </w:r>
      <w:r w:rsidR="00C96610">
        <w:rPr>
          <w:rFonts w:ascii="Palatino Linotype" w:hAnsi="Palatino Linotype"/>
          <w:color w:val="222222"/>
          <w:sz w:val="23"/>
          <w:szCs w:val="23"/>
          <w:lang w:eastAsia="es-MX"/>
        </w:rPr>
        <w:lastRenderedPageBreak/>
        <w:t>destinadas a garantizar que los datos personales no se atribuyan a una persona física identificada o identificable.</w:t>
      </w:r>
    </w:p>
    <w:p w:rsidR="003E2DA1" w:rsidRPr="00D12EC2" w:rsidRDefault="00C96610" w:rsidP="003E2DA1">
      <w:pPr>
        <w:shd w:val="clear" w:color="auto" w:fill="FFFFFF"/>
        <w:spacing w:before="240" w:after="240" w:line="360" w:lineRule="auto"/>
        <w:jc w:val="both"/>
        <w:rPr>
          <w:sz w:val="23"/>
          <w:szCs w:val="23"/>
          <w:lang w:eastAsia="es-MX"/>
        </w:rPr>
      </w:pPr>
      <w:r>
        <w:rPr>
          <w:rFonts w:ascii="Palatino Linotype" w:hAnsi="Palatino Linotype"/>
          <w:sz w:val="23"/>
          <w:szCs w:val="23"/>
          <w:lang w:eastAsia="es-MX"/>
        </w:rPr>
        <w:t>Como se advierte, dicho proceso tiene como</w:t>
      </w:r>
      <w:r w:rsidR="003E2DA1" w:rsidRPr="00D12EC2">
        <w:rPr>
          <w:rFonts w:ascii="Palatino Linotype" w:hAnsi="Palatino Linotype"/>
          <w:sz w:val="23"/>
          <w:szCs w:val="23"/>
          <w:lang w:eastAsia="es-MX"/>
        </w:rPr>
        <w:t xml:space="preserve"> finalidad evitar la identificación de personas al amparo de la protección a la vida, toda vez que los miembros de las instituciones policiales se encuentran en un régimen de excepción respecto de las condiciones que presentan los servidores públicos administrativos, esto obedece a que el solo ejercicio de las funciones que tienen encomendadas lleva implícito el riesgo a su integridad, toda vez que son responsables de procurar el orden, la estabilidad y la defensa de la sociedad a la que pertenecen.</w:t>
      </w:r>
    </w:p>
    <w:p w:rsidR="003E2DA1" w:rsidRPr="00D12EC2" w:rsidRDefault="003E2DA1" w:rsidP="003E2DA1">
      <w:pPr>
        <w:shd w:val="clear" w:color="auto" w:fill="FFFFFF"/>
        <w:spacing w:before="240" w:after="240" w:line="360" w:lineRule="auto"/>
        <w:jc w:val="both"/>
        <w:rPr>
          <w:sz w:val="23"/>
          <w:szCs w:val="23"/>
          <w:lang w:eastAsia="es-MX"/>
        </w:rPr>
      </w:pPr>
      <w:r w:rsidRPr="00D12EC2">
        <w:rPr>
          <w:rFonts w:ascii="Palatino Linotype" w:hAnsi="Palatino Linotype"/>
          <w:sz w:val="23"/>
          <w:szCs w:val="23"/>
          <w:lang w:eastAsia="es-MX"/>
        </w:rPr>
        <w:t>De ahí, que el Estado deba garantizar y respetar sus derechos humanos como servidores públicos y como personas sujetas de derechos y obligaciones, como lo es la protección a sus datos personales, incluido su nombre que si bien pudiera tenerse como público ante la inminente evidencia de que recibe recursos públicos por concepto de sueldo, también lo es, que al pertenecer a una institución policial la difusión del mismo, pone en riesgo su vida, integridad o seguridad.</w:t>
      </w:r>
    </w:p>
    <w:p w:rsidR="003E2DA1" w:rsidRPr="00D12EC2" w:rsidRDefault="003E2DA1" w:rsidP="003E2DA1">
      <w:pPr>
        <w:spacing w:before="240" w:after="0" w:line="360" w:lineRule="auto"/>
        <w:jc w:val="both"/>
        <w:rPr>
          <w:rFonts w:ascii="Palatino Linotype" w:eastAsia="MS Mincho" w:hAnsi="Palatino Linotype" w:cs="Arial"/>
          <w:sz w:val="23"/>
          <w:szCs w:val="23"/>
          <w:lang w:val="es-ES"/>
        </w:rPr>
      </w:pPr>
      <w:r w:rsidRPr="00D12EC2">
        <w:rPr>
          <w:rFonts w:ascii="Palatino Linotype" w:hAnsi="Palatino Linotype" w:cs="Arial"/>
          <w:sz w:val="23"/>
          <w:szCs w:val="23"/>
        </w:rPr>
        <w:t xml:space="preserve">Se afirma lo anterior, en virtud de que no debe perderse de vista que </w:t>
      </w:r>
      <w:r w:rsidRPr="00D12EC2">
        <w:rPr>
          <w:rFonts w:ascii="Palatino Linotype" w:eastAsia="MS Mincho" w:hAnsi="Palatino Linotype" w:cs="Arial"/>
          <w:sz w:val="23"/>
          <w:szCs w:val="23"/>
          <w:lang w:val="es-ES"/>
        </w:rPr>
        <w:t xml:space="preserve">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w:t>
      </w:r>
      <w:r w:rsidR="007E7E8E">
        <w:rPr>
          <w:rFonts w:ascii="Palatino Linotype" w:eastAsia="MS Mincho" w:hAnsi="Palatino Linotype" w:cs="Arial"/>
          <w:sz w:val="23"/>
          <w:szCs w:val="23"/>
          <w:lang w:val="es-ES"/>
        </w:rPr>
        <w:t>artículo 113, fracción I de la L</w:t>
      </w:r>
      <w:r w:rsidRPr="00D12EC2">
        <w:rPr>
          <w:rFonts w:ascii="Palatino Linotype" w:eastAsia="MS Mincho" w:hAnsi="Palatino Linotype" w:cs="Arial"/>
          <w:sz w:val="23"/>
          <w:szCs w:val="23"/>
          <w:lang w:val="es-ES"/>
        </w:rPr>
        <w:t xml:space="preserve">ey General de Transparencia </w:t>
      </w:r>
      <w:r w:rsidR="007E7E8E">
        <w:rPr>
          <w:rFonts w:ascii="Palatino Linotype" w:eastAsia="MS Mincho" w:hAnsi="Palatino Linotype" w:cs="Arial"/>
          <w:sz w:val="23"/>
          <w:szCs w:val="23"/>
          <w:lang w:val="es-ES"/>
        </w:rPr>
        <w:t>y Acceso a la Información Pública,</w:t>
      </w:r>
      <w:r w:rsidRPr="00D12EC2">
        <w:rPr>
          <w:rFonts w:ascii="Palatino Linotype" w:eastAsia="MS Mincho" w:hAnsi="Palatino Linotype" w:cs="Arial"/>
          <w:sz w:val="23"/>
          <w:szCs w:val="23"/>
          <w:lang w:val="es-ES"/>
        </w:rPr>
        <w:t xml:space="preserve"> se establece que podrá clasificarse aquella información cuya </w:t>
      </w:r>
      <w:r w:rsidRPr="00D12EC2">
        <w:rPr>
          <w:rFonts w:ascii="Palatino Linotype" w:eastAsia="MS Mincho" w:hAnsi="Palatino Linotype" w:cs="Arial"/>
          <w:sz w:val="23"/>
          <w:szCs w:val="23"/>
          <w:lang w:val="es-ES"/>
        </w:rPr>
        <w:lastRenderedPageBreak/>
        <w:t xml:space="preserve">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w:t>
      </w:r>
      <w:r w:rsidR="00177FB6">
        <w:rPr>
          <w:rFonts w:ascii="Palatino Linotype" w:eastAsia="MS Mincho" w:hAnsi="Palatino Linotype" w:cs="Arial"/>
          <w:sz w:val="23"/>
          <w:szCs w:val="23"/>
          <w:lang w:val="es-ES"/>
        </w:rPr>
        <w:t>permite el acceso a la información de los prestadores de</w:t>
      </w:r>
      <w:r w:rsidRPr="00D12EC2">
        <w:rPr>
          <w:rFonts w:ascii="Palatino Linotype" w:eastAsia="MS Mincho" w:hAnsi="Palatino Linotype" w:cs="Arial"/>
          <w:sz w:val="23"/>
          <w:szCs w:val="23"/>
          <w:lang w:val="es-ES"/>
        </w:rPr>
        <w:t xml:space="preserve"> servicios en áreas de seguridad nacional o pública, puede llegar a constituirse en un componente fundamental en el esfuerzo que realiza el Estado Mexicano para garantizar la seguridad del país en sus diferentes vertientes, toda vez que </w:t>
      </w:r>
      <w:r w:rsidR="007E7E8E">
        <w:rPr>
          <w:rFonts w:ascii="Palatino Linotype" w:eastAsia="MS Mincho" w:hAnsi="Palatino Linotype" w:cs="Arial"/>
          <w:sz w:val="23"/>
          <w:szCs w:val="23"/>
          <w:lang w:val="es-ES"/>
        </w:rPr>
        <w:t>como se h</w:t>
      </w:r>
      <w:r w:rsidRPr="00D12EC2">
        <w:rPr>
          <w:rFonts w:ascii="Palatino Linotype" w:eastAsia="MS Mincho" w:hAnsi="Palatino Linotype" w:cs="Arial"/>
          <w:sz w:val="23"/>
          <w:szCs w:val="23"/>
          <w:lang w:val="es-ES"/>
        </w:rPr>
        <w:t>a mencionado con antelación</w:t>
      </w:r>
      <w:r w:rsidR="00472456">
        <w:rPr>
          <w:rFonts w:ascii="Palatino Linotype" w:eastAsia="MS Mincho" w:hAnsi="Palatino Linotype" w:cs="Arial"/>
          <w:sz w:val="23"/>
          <w:szCs w:val="23"/>
          <w:lang w:val="es-ES"/>
        </w:rPr>
        <w:t>,</w:t>
      </w:r>
      <w:r w:rsidRPr="00D12EC2">
        <w:rPr>
          <w:rFonts w:ascii="Palatino Linotype" w:eastAsia="MS Mincho" w:hAnsi="Palatino Linotype" w:cs="Arial"/>
          <w:sz w:val="23"/>
          <w:szCs w:val="23"/>
          <w:lang w:val="es-ES"/>
        </w:rPr>
        <w:t xml:space="preserve"> al proporcionar la información solicitada por el recurrente, </w:t>
      </w:r>
      <w:r w:rsidR="007E7E8E">
        <w:rPr>
          <w:rFonts w:ascii="Palatino Linotype" w:eastAsia="MS Mincho" w:hAnsi="Palatino Linotype" w:cs="Arial"/>
          <w:sz w:val="23"/>
          <w:szCs w:val="23"/>
          <w:lang w:val="es-ES"/>
        </w:rPr>
        <w:t>es posible</w:t>
      </w:r>
      <w:r w:rsidRPr="00D12EC2">
        <w:rPr>
          <w:rFonts w:ascii="Palatino Linotype" w:eastAsia="MS Mincho" w:hAnsi="Palatino Linotype" w:cs="Arial"/>
          <w:sz w:val="23"/>
          <w:szCs w:val="23"/>
          <w:lang w:val="es-ES"/>
        </w:rPr>
        <w:t xml:space="preserve"> </w:t>
      </w:r>
      <w:r w:rsidR="00177FB6">
        <w:rPr>
          <w:rFonts w:ascii="Palatino Linotype" w:eastAsia="MS Mincho" w:hAnsi="Palatino Linotype" w:cs="Arial"/>
          <w:sz w:val="23"/>
          <w:szCs w:val="23"/>
          <w:lang w:val="es-ES"/>
        </w:rPr>
        <w:t>identificar si se trata de servidores púbicos públicos operativos</w:t>
      </w:r>
      <w:r w:rsidRPr="00D12EC2">
        <w:rPr>
          <w:rFonts w:ascii="Palatino Linotype" w:eastAsia="MS Mincho" w:hAnsi="Palatino Linotype" w:cs="Arial"/>
          <w:sz w:val="23"/>
          <w:szCs w:val="23"/>
          <w:lang w:val="es-ES"/>
        </w:rPr>
        <w:t xml:space="preserve">, circunstancia que </w:t>
      </w:r>
      <w:r w:rsidRPr="00D12EC2">
        <w:rPr>
          <w:rFonts w:ascii="Palatino Linotype" w:eastAsia="MS Mincho" w:hAnsi="Palatino Linotype" w:cs="Arial"/>
          <w:sz w:val="23"/>
          <w:szCs w:val="23"/>
          <w:lang w:val="es-ES_tradnl"/>
        </w:rPr>
        <w:t>puede poner en riesgo la vida e integridad física de los integrantes de los cuerpos policiacos, al respecto cabe hacer mención que no debe pasar desapercibido que el artículo 81</w:t>
      </w:r>
      <w:r w:rsidR="00472456">
        <w:rPr>
          <w:rFonts w:ascii="Palatino Linotype" w:eastAsia="MS Mincho" w:hAnsi="Palatino Linotype" w:cs="Arial"/>
          <w:sz w:val="23"/>
          <w:szCs w:val="23"/>
          <w:lang w:val="es-ES_tradnl"/>
        </w:rPr>
        <w:t>,</w:t>
      </w:r>
      <w:r w:rsidRPr="00D12EC2">
        <w:rPr>
          <w:rFonts w:ascii="Palatino Linotype" w:eastAsia="MS Mincho" w:hAnsi="Palatino Linotype" w:cs="Arial"/>
          <w:sz w:val="23"/>
          <w:szCs w:val="23"/>
          <w:lang w:val="es-ES_tradnl"/>
        </w:rPr>
        <w:t xml:space="preserve"> fracción III</w:t>
      </w:r>
      <w:r w:rsidR="00472456">
        <w:rPr>
          <w:rFonts w:ascii="Palatino Linotype" w:eastAsia="MS Mincho" w:hAnsi="Palatino Linotype" w:cs="Arial"/>
          <w:sz w:val="23"/>
          <w:szCs w:val="23"/>
          <w:lang w:val="es-ES_tradnl"/>
        </w:rPr>
        <w:t>,</w:t>
      </w:r>
      <w:r w:rsidRPr="00D12EC2">
        <w:rPr>
          <w:rFonts w:ascii="Palatino Linotype" w:eastAsia="MS Mincho" w:hAnsi="Palatino Linotype" w:cs="Arial"/>
          <w:sz w:val="23"/>
          <w:szCs w:val="23"/>
          <w:lang w:val="es-ES_tradnl"/>
        </w:rPr>
        <w:t xml:space="preserve"> de la Ley de Seguridad del Estado de México, establece lo siguiente: </w:t>
      </w:r>
    </w:p>
    <w:p w:rsidR="003E2DA1" w:rsidRPr="00D12EC2" w:rsidRDefault="003E2DA1" w:rsidP="003E2DA1">
      <w:pPr>
        <w:spacing w:after="0" w:line="240" w:lineRule="auto"/>
        <w:ind w:left="851" w:right="851"/>
        <w:jc w:val="both"/>
        <w:rPr>
          <w:rFonts w:ascii="Palatino Linotype" w:eastAsia="MS Mincho" w:hAnsi="Palatino Linotype" w:cs="Arial"/>
          <w:i/>
          <w:sz w:val="20"/>
          <w:szCs w:val="20"/>
          <w:lang w:val="es-ES_tradnl"/>
        </w:rPr>
      </w:pPr>
    </w:p>
    <w:p w:rsidR="003E2DA1" w:rsidRPr="00D12EC2" w:rsidRDefault="003E2DA1" w:rsidP="003E2DA1">
      <w:pPr>
        <w:spacing w:after="0" w:line="240" w:lineRule="auto"/>
        <w:ind w:left="851" w:right="851"/>
        <w:jc w:val="both"/>
        <w:rPr>
          <w:rFonts w:ascii="Palatino Linotype" w:eastAsia="MS Mincho" w:hAnsi="Palatino Linotype" w:cs="Arial"/>
          <w:i/>
          <w:sz w:val="21"/>
          <w:szCs w:val="21"/>
          <w:lang w:val="es-ES_tradnl"/>
        </w:rPr>
      </w:pPr>
      <w:r w:rsidRPr="00D12EC2">
        <w:rPr>
          <w:rFonts w:ascii="Palatino Linotype" w:eastAsia="MS Mincho" w:hAnsi="Palatino Linotype" w:cs="Arial"/>
          <w:i/>
          <w:sz w:val="21"/>
          <w:szCs w:val="21"/>
          <w:lang w:val="es-ES_tradnl"/>
        </w:rPr>
        <w:t>“</w:t>
      </w:r>
      <w:r w:rsidRPr="00D12EC2">
        <w:rPr>
          <w:rFonts w:ascii="Palatino Linotype" w:eastAsia="MS Mincho" w:hAnsi="Palatino Linotype" w:cs="Arial"/>
          <w:b/>
          <w:i/>
          <w:sz w:val="21"/>
          <w:szCs w:val="21"/>
          <w:lang w:val="es-ES_tradnl"/>
        </w:rPr>
        <w:t>Artículo 81.-</w:t>
      </w:r>
      <w:r w:rsidRPr="00D12EC2">
        <w:rPr>
          <w:rFonts w:ascii="Palatino Linotype" w:eastAsia="MS Mincho" w:hAnsi="Palatino Linotype" w:cs="Arial"/>
          <w:i/>
          <w:sz w:val="21"/>
          <w:szCs w:val="21"/>
          <w:lang w:val="es-ES_tradnl"/>
        </w:rPr>
        <w:t xml:space="preserve"> </w:t>
      </w:r>
      <w:r w:rsidRPr="00D12EC2">
        <w:rPr>
          <w:rFonts w:ascii="Palatino Linotype" w:eastAsia="MS Mincho" w:hAnsi="Palatino Linotype" w:cs="Arial"/>
          <w:b/>
          <w:i/>
          <w:sz w:val="21"/>
          <w:szCs w:val="21"/>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D12EC2">
        <w:rPr>
          <w:rFonts w:ascii="Palatino Linotype" w:eastAsia="MS Mincho" w:hAnsi="Palatino Linotype" w:cs="Arial"/>
          <w:b/>
          <w:i/>
          <w:sz w:val="21"/>
          <w:szCs w:val="21"/>
          <w:u w:val="single"/>
          <w:lang w:val="es-ES_tradnl"/>
        </w:rPr>
        <w:t>No obstante lo anterior, esta información se considerará reservada</w:t>
      </w:r>
      <w:r w:rsidRPr="00D12EC2">
        <w:rPr>
          <w:rFonts w:ascii="Palatino Linotype" w:eastAsia="MS Mincho" w:hAnsi="Palatino Linotype" w:cs="Arial"/>
          <w:i/>
          <w:sz w:val="21"/>
          <w:szCs w:val="21"/>
          <w:lang w:val="es-ES_tradnl"/>
        </w:rPr>
        <w:t xml:space="preserve"> en los casos siguientes:</w:t>
      </w:r>
    </w:p>
    <w:p w:rsidR="003E2DA1" w:rsidRPr="00D12EC2" w:rsidRDefault="003E2DA1" w:rsidP="003E2DA1">
      <w:pPr>
        <w:spacing w:after="0" w:line="240" w:lineRule="auto"/>
        <w:ind w:left="851" w:right="851"/>
        <w:jc w:val="both"/>
        <w:rPr>
          <w:rFonts w:ascii="Palatino Linotype" w:eastAsia="MS Mincho" w:hAnsi="Palatino Linotype" w:cs="Arial"/>
          <w:i/>
          <w:sz w:val="21"/>
          <w:szCs w:val="21"/>
          <w:lang w:val="es-ES_tradnl"/>
        </w:rPr>
      </w:pPr>
      <w:r w:rsidRPr="00D12EC2">
        <w:rPr>
          <w:rFonts w:ascii="Palatino Linotype" w:eastAsia="MS Mincho" w:hAnsi="Palatino Linotype" w:cs="Arial"/>
          <w:i/>
          <w:sz w:val="21"/>
          <w:szCs w:val="21"/>
          <w:lang w:val="es-ES_tradnl"/>
        </w:rPr>
        <w:t>…</w:t>
      </w:r>
    </w:p>
    <w:p w:rsidR="003E2DA1" w:rsidRPr="00D12EC2" w:rsidRDefault="003E2DA1" w:rsidP="003E2DA1">
      <w:pPr>
        <w:spacing w:after="0" w:line="240" w:lineRule="auto"/>
        <w:ind w:left="851" w:right="851"/>
        <w:jc w:val="both"/>
        <w:rPr>
          <w:rFonts w:ascii="Palatino Linotype" w:eastAsia="MS Mincho" w:hAnsi="Palatino Linotype" w:cs="Arial"/>
          <w:i/>
          <w:sz w:val="21"/>
          <w:szCs w:val="21"/>
          <w:lang w:val="es-ES_tradnl"/>
        </w:rPr>
      </w:pPr>
      <w:r w:rsidRPr="00D12EC2">
        <w:rPr>
          <w:rFonts w:ascii="Palatino Linotype" w:eastAsia="MS Mincho" w:hAnsi="Palatino Linotype" w:cs="Arial"/>
          <w:b/>
          <w:i/>
          <w:sz w:val="21"/>
          <w:szCs w:val="21"/>
          <w:lang w:val="es-ES_tradnl"/>
        </w:rPr>
        <w:t>III.</w:t>
      </w:r>
      <w:r w:rsidRPr="00D12EC2">
        <w:rPr>
          <w:rFonts w:ascii="Palatino Linotype" w:eastAsia="MS Mincho" w:hAnsi="Palatino Linotype" w:cs="Arial"/>
          <w:i/>
          <w:sz w:val="21"/>
          <w:szCs w:val="21"/>
          <w:lang w:val="es-ES_tradnl"/>
        </w:rPr>
        <w:t xml:space="preserve"> </w:t>
      </w:r>
      <w:r w:rsidRPr="00D12EC2">
        <w:rPr>
          <w:rFonts w:ascii="Palatino Linotype" w:eastAsia="MS Mincho" w:hAnsi="Palatino Linotype" w:cs="Arial"/>
          <w:b/>
          <w:i/>
          <w:sz w:val="21"/>
          <w:szCs w:val="21"/>
          <w:u w:val="single"/>
          <w:lang w:val="es-ES_tradnl"/>
        </w:rPr>
        <w:t>La relativa a servidores públicos miembros de las instituciones de seguridad pública, cuya revelación pueda poner en riesgo su vida e integridad física con motivo de sus funciones;</w:t>
      </w:r>
      <w:r w:rsidRPr="00D12EC2">
        <w:rPr>
          <w:rFonts w:ascii="Palatino Linotype" w:eastAsia="MS Mincho" w:hAnsi="Palatino Linotype" w:cs="Arial"/>
          <w:i/>
          <w:sz w:val="21"/>
          <w:szCs w:val="21"/>
          <w:lang w:val="es-ES_tradnl"/>
        </w:rPr>
        <w:t>”</w:t>
      </w:r>
    </w:p>
    <w:p w:rsidR="003E2DA1" w:rsidRPr="00D12EC2" w:rsidRDefault="003E2DA1" w:rsidP="003E2DA1">
      <w:pPr>
        <w:spacing w:after="0" w:line="240" w:lineRule="auto"/>
        <w:ind w:left="851" w:right="851"/>
        <w:jc w:val="both"/>
        <w:rPr>
          <w:rFonts w:ascii="Palatino Linotype" w:eastAsia="MS Mincho" w:hAnsi="Palatino Linotype" w:cs="Arial"/>
          <w:i/>
          <w:sz w:val="21"/>
          <w:szCs w:val="21"/>
          <w:lang w:val="es-ES_tradnl"/>
        </w:rPr>
      </w:pPr>
    </w:p>
    <w:p w:rsidR="003E2DA1" w:rsidRPr="00D12EC2" w:rsidRDefault="003E2DA1" w:rsidP="003E2DA1">
      <w:pPr>
        <w:spacing w:after="0" w:line="240" w:lineRule="auto"/>
        <w:ind w:left="851" w:right="851"/>
        <w:jc w:val="both"/>
        <w:rPr>
          <w:rFonts w:ascii="Palatino Linotype" w:eastAsia="MS Mincho" w:hAnsi="Palatino Linotype" w:cs="Arial"/>
          <w:i/>
          <w:sz w:val="21"/>
          <w:szCs w:val="21"/>
          <w:lang w:val="es-ES_tradnl"/>
        </w:rPr>
      </w:pPr>
      <w:r w:rsidRPr="00D12EC2">
        <w:rPr>
          <w:rFonts w:ascii="Palatino Linotype" w:eastAsia="MS Mincho" w:hAnsi="Palatino Linotype" w:cs="Arial"/>
          <w:i/>
          <w:sz w:val="21"/>
          <w:szCs w:val="21"/>
          <w:lang w:val="es-ES_tradnl"/>
        </w:rPr>
        <w:t>Énfasis añadido</w:t>
      </w:r>
    </w:p>
    <w:p w:rsidR="003E2DA1" w:rsidRPr="00D12EC2" w:rsidRDefault="003E2DA1" w:rsidP="003E2DA1">
      <w:pPr>
        <w:jc w:val="both"/>
        <w:rPr>
          <w:rFonts w:ascii="Palatino Linotype" w:eastAsia="MS Mincho" w:hAnsi="Palatino Linotype" w:cs="Arial"/>
          <w:lang w:val="es-ES_tradnl"/>
        </w:rPr>
      </w:pPr>
    </w:p>
    <w:p w:rsidR="003E2DA1" w:rsidRPr="00D12EC2" w:rsidRDefault="003E2DA1" w:rsidP="003E2DA1">
      <w:pPr>
        <w:spacing w:before="240" w:after="240" w:line="360" w:lineRule="auto"/>
        <w:jc w:val="both"/>
        <w:rPr>
          <w:rFonts w:ascii="Palatino Linotype" w:hAnsi="Palatino Linotype" w:cs="Arial"/>
          <w:sz w:val="23"/>
          <w:szCs w:val="23"/>
        </w:rPr>
      </w:pPr>
      <w:r w:rsidRPr="00D12EC2">
        <w:rPr>
          <w:rFonts w:ascii="Palatino Linotype" w:hAnsi="Palatino Linotype" w:cs="Arial"/>
          <w:sz w:val="23"/>
          <w:szCs w:val="23"/>
        </w:rPr>
        <w:lastRenderedPageBreak/>
        <w:t xml:space="preserve">Argumento que se fortalece con lo estipulado en el criterio número 6-09, emitido por el Instituto Nacional de Transparencia, Acceso a la Información y Protección de Datos Personales, antes </w:t>
      </w:r>
      <w:r w:rsidRPr="00D12EC2">
        <w:rPr>
          <w:rFonts w:ascii="Palatino Linotype" w:hAnsi="Palatino Linotype" w:cs="Arial"/>
          <w:sz w:val="23"/>
          <w:szCs w:val="23"/>
          <w:lang w:eastAsia="es-MX"/>
        </w:rPr>
        <w:t>(IFAI)</w:t>
      </w:r>
      <w:r w:rsidRPr="00D12EC2">
        <w:rPr>
          <w:rStyle w:val="Textoennegrita"/>
          <w:rFonts w:ascii="Palatino Linotype" w:hAnsi="Palatino Linotype" w:cs="Arial"/>
          <w:sz w:val="23"/>
          <w:szCs w:val="23"/>
        </w:rPr>
        <w:t xml:space="preserve">, </w:t>
      </w:r>
      <w:r w:rsidRPr="00D12EC2">
        <w:rPr>
          <w:rFonts w:ascii="Palatino Linotype" w:hAnsi="Palatino Linotype" w:cs="Arial"/>
          <w:sz w:val="23"/>
          <w:szCs w:val="23"/>
        </w:rPr>
        <w:t xml:space="preserve">el cual refiere: </w:t>
      </w:r>
    </w:p>
    <w:p w:rsidR="003E2DA1" w:rsidRPr="00D12EC2" w:rsidRDefault="003E2DA1" w:rsidP="003E2DA1">
      <w:pPr>
        <w:autoSpaceDE w:val="0"/>
        <w:autoSpaceDN w:val="0"/>
        <w:adjustRightInd w:val="0"/>
        <w:spacing w:after="0" w:line="240" w:lineRule="auto"/>
        <w:ind w:left="1134" w:right="851"/>
        <w:jc w:val="both"/>
        <w:rPr>
          <w:rFonts w:ascii="Palatino Linotype" w:hAnsi="Palatino Linotype" w:cs="Arial"/>
          <w:i/>
          <w:sz w:val="21"/>
          <w:szCs w:val="21"/>
          <w:lang w:eastAsia="es-MX"/>
        </w:rPr>
      </w:pPr>
      <w:r w:rsidRPr="00D12EC2">
        <w:rPr>
          <w:rFonts w:ascii="Palatino Linotype" w:hAnsi="Palatino Linotype" w:cs="Arial"/>
          <w:b/>
          <w:bCs/>
          <w:i/>
          <w:sz w:val="21"/>
          <w:szCs w:val="21"/>
          <w:lang w:eastAsia="es-MX"/>
        </w:rPr>
        <w:t>“Criterio 6-09</w:t>
      </w:r>
    </w:p>
    <w:p w:rsidR="003E2DA1" w:rsidRPr="00D12EC2" w:rsidRDefault="003E2DA1" w:rsidP="003E2DA1">
      <w:pPr>
        <w:autoSpaceDE w:val="0"/>
        <w:autoSpaceDN w:val="0"/>
        <w:adjustRightInd w:val="0"/>
        <w:spacing w:after="0" w:line="240" w:lineRule="auto"/>
        <w:ind w:left="1134" w:right="851"/>
        <w:jc w:val="both"/>
        <w:rPr>
          <w:rFonts w:ascii="Palatino Linotype" w:hAnsi="Palatino Linotype" w:cs="Arial"/>
          <w:i/>
          <w:sz w:val="21"/>
          <w:szCs w:val="21"/>
          <w:lang w:eastAsia="es-MX"/>
        </w:rPr>
      </w:pPr>
      <w:r w:rsidRPr="00D12EC2">
        <w:rPr>
          <w:rFonts w:ascii="Palatino Linotype" w:hAnsi="Palatino Linotype" w:cs="Arial"/>
          <w:b/>
          <w:bCs/>
          <w:i/>
          <w:sz w:val="21"/>
          <w:szCs w:val="21"/>
          <w:lang w:eastAsia="es-MX"/>
        </w:rPr>
        <w:t xml:space="preserve">Nombres de servidores públicos dedicados a actividades en materia de seguridad, por excepción pueden considerarse información reservada. </w:t>
      </w:r>
      <w:r w:rsidRPr="00D12EC2">
        <w:rPr>
          <w:rFonts w:ascii="Palatino Linotype" w:hAnsi="Palatino Linotype" w:cs="Arial"/>
          <w:bCs/>
          <w:i/>
          <w:sz w:val="21"/>
          <w:szCs w:val="21"/>
          <w:lang w:eastAsia="es-MX"/>
        </w:rPr>
        <w:t xml:space="preserve">De conformidad con el artículo 7, fracciones I y III de la Ley Federal de Transparencia y Acceso a la Información Pública Gubernamental </w:t>
      </w:r>
      <w:r w:rsidRPr="00D12EC2">
        <w:rPr>
          <w:rFonts w:ascii="Palatino Linotype" w:hAnsi="Palatino Linotype" w:cs="Arial"/>
          <w:b/>
          <w:bCs/>
          <w:i/>
          <w:sz w:val="21"/>
          <w:szCs w:val="21"/>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D12EC2">
        <w:rPr>
          <w:rFonts w:ascii="Palatino Linotype" w:hAnsi="Palatino Linotype" w:cs="Arial"/>
          <w:bCs/>
          <w:i/>
          <w:sz w:val="21"/>
          <w:szCs w:val="21"/>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D12EC2">
        <w:rPr>
          <w:rFonts w:ascii="Palatino Linotype" w:hAnsi="Palatino Linotype" w:cs="Arial"/>
          <w:b/>
          <w:bCs/>
          <w:i/>
          <w:sz w:val="21"/>
          <w:szCs w:val="21"/>
          <w:u w:val="single"/>
          <w:lang w:eastAsia="es-MX"/>
        </w:rPr>
        <w:t>el artículo 13, fracción I de la ley de referencia se establece que podrá clasificarse aquella información cuya difusión pueda comprometer la seguridad nacional y pública</w:t>
      </w:r>
      <w:r w:rsidRPr="00D12EC2">
        <w:rPr>
          <w:rFonts w:ascii="Palatino Linotype" w:hAnsi="Palatino Linotype" w:cs="Arial"/>
          <w:bCs/>
          <w:i/>
          <w:sz w:val="21"/>
          <w:szCs w:val="21"/>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D12EC2">
        <w:rPr>
          <w:rFonts w:ascii="Palatino Linotype" w:hAnsi="Palatino Linotype" w:cs="Arial"/>
          <w:b/>
          <w:bCs/>
          <w:i/>
          <w:sz w:val="21"/>
          <w:szCs w:val="21"/>
          <w:u w:val="single"/>
          <w:lang w:eastAsia="es-MX"/>
        </w:rPr>
        <w:t>por lo que la reserva de la relación de los nombres y las funciones que desempeñan los servidores públicos que prestan sus servicios en áreas de seguridad nacional o pública</w:t>
      </w:r>
      <w:r w:rsidRPr="00D12EC2">
        <w:rPr>
          <w:rFonts w:ascii="Palatino Linotype" w:hAnsi="Palatino Linotype" w:cs="Arial"/>
          <w:bCs/>
          <w:i/>
          <w:sz w:val="21"/>
          <w:szCs w:val="21"/>
          <w:lang w:eastAsia="es-MX"/>
        </w:rPr>
        <w:t>, puede llegar a constituirse en un componente fundamental en el esfuerzo que realiza el Estado Mexicano para garantizar la seguridad del país en sus diferentes vertientes</w:t>
      </w:r>
      <w:r w:rsidRPr="00D12EC2">
        <w:rPr>
          <w:rFonts w:ascii="Palatino Linotype" w:hAnsi="Palatino Linotype" w:cs="Arial"/>
          <w:i/>
          <w:sz w:val="21"/>
          <w:szCs w:val="21"/>
          <w:lang w:eastAsia="es-MX"/>
        </w:rPr>
        <w:t>” (Sic)</w:t>
      </w:r>
    </w:p>
    <w:p w:rsidR="003E2DA1" w:rsidRPr="00D12EC2" w:rsidRDefault="003E2DA1" w:rsidP="003E2DA1">
      <w:pPr>
        <w:tabs>
          <w:tab w:val="left" w:pos="3583"/>
        </w:tabs>
        <w:autoSpaceDE w:val="0"/>
        <w:autoSpaceDN w:val="0"/>
        <w:adjustRightInd w:val="0"/>
        <w:spacing w:after="0" w:line="240" w:lineRule="auto"/>
        <w:ind w:left="1134" w:right="851"/>
        <w:jc w:val="both"/>
        <w:rPr>
          <w:rFonts w:ascii="Palatino Linotype" w:hAnsi="Palatino Linotype" w:cs="Arial"/>
          <w:i/>
          <w:sz w:val="20"/>
          <w:szCs w:val="20"/>
          <w:lang w:eastAsia="es-MX"/>
        </w:rPr>
      </w:pPr>
      <w:r w:rsidRPr="00D12EC2">
        <w:rPr>
          <w:rFonts w:ascii="Palatino Linotype" w:hAnsi="Palatino Linotype" w:cs="Arial"/>
          <w:i/>
          <w:sz w:val="21"/>
          <w:szCs w:val="21"/>
          <w:lang w:eastAsia="es-MX"/>
        </w:rPr>
        <w:t>Énfasis añadido.</w:t>
      </w:r>
      <w:r w:rsidRPr="00D12EC2">
        <w:rPr>
          <w:rFonts w:ascii="Palatino Linotype" w:hAnsi="Palatino Linotype" w:cs="Arial"/>
          <w:i/>
          <w:sz w:val="21"/>
          <w:szCs w:val="21"/>
          <w:lang w:eastAsia="es-MX"/>
        </w:rPr>
        <w:tab/>
      </w:r>
    </w:p>
    <w:p w:rsidR="003E2DA1" w:rsidRPr="00D12EC2" w:rsidRDefault="003E2DA1" w:rsidP="003E2DA1">
      <w:pPr>
        <w:autoSpaceDE w:val="0"/>
        <w:autoSpaceDN w:val="0"/>
        <w:adjustRightInd w:val="0"/>
        <w:ind w:left="1134" w:right="851"/>
        <w:jc w:val="both"/>
        <w:rPr>
          <w:rFonts w:ascii="Palatino Linotype" w:hAnsi="Palatino Linotype" w:cs="Arial"/>
          <w:i/>
          <w:sz w:val="23"/>
          <w:szCs w:val="23"/>
          <w:lang w:eastAsia="es-MX"/>
        </w:rPr>
      </w:pPr>
    </w:p>
    <w:p w:rsidR="002C5D65" w:rsidRDefault="002C5D65" w:rsidP="002C5D65">
      <w:pPr>
        <w:spacing w:before="240" w:after="240" w:line="360" w:lineRule="auto"/>
        <w:jc w:val="both"/>
        <w:rPr>
          <w:rFonts w:ascii="Palatino Linotype" w:hAnsi="Palatino Linotype" w:cs="Arial"/>
          <w:sz w:val="23"/>
          <w:szCs w:val="23"/>
        </w:rPr>
      </w:pPr>
      <w:r>
        <w:rPr>
          <w:rFonts w:ascii="Palatino Linotype" w:hAnsi="Palatino Linotype" w:cs="Arial"/>
          <w:sz w:val="23"/>
          <w:szCs w:val="23"/>
        </w:rPr>
        <w:t xml:space="preserve">En efecto, con base en lo expuesto por el ahora Instituto Nacional de Transparencia y Acceso a la Información y Protección de Datos Personales, desde el año dos mil nueve, </w:t>
      </w:r>
      <w:r>
        <w:rPr>
          <w:rFonts w:ascii="Palatino Linotype" w:hAnsi="Palatino Linotype" w:cs="Arial"/>
          <w:sz w:val="23"/>
          <w:szCs w:val="23"/>
        </w:rPr>
        <w:lastRenderedPageBreak/>
        <w:t>ya se había precisado que la manera de evitar que se haga identificables a los policías, quienes al realizar funciones operativas, en el contexto nacional en donde la violencia se ha recrudecido y el Estado Mexicano ha redoblado esfuerzos para garantizar la seguridad pública, es eliminado el nombre de estos elementos en aquellos documentos que se entreguen en atención a solicitudes de acceso a la información pública.</w:t>
      </w:r>
    </w:p>
    <w:p w:rsidR="003E2DA1" w:rsidRPr="00D12EC2" w:rsidRDefault="002C5D65" w:rsidP="003E2DA1">
      <w:pPr>
        <w:spacing w:before="240" w:after="240" w:line="360" w:lineRule="auto"/>
        <w:jc w:val="both"/>
        <w:rPr>
          <w:rFonts w:ascii="Palatino Linotype" w:hAnsi="Palatino Linotype" w:cs="Segoe UI"/>
          <w:sz w:val="23"/>
          <w:szCs w:val="23"/>
        </w:rPr>
      </w:pPr>
      <w:r>
        <w:rPr>
          <w:rFonts w:ascii="Palatino Linotype" w:hAnsi="Palatino Linotype"/>
          <w:sz w:val="23"/>
          <w:szCs w:val="23"/>
        </w:rPr>
        <w:t>Así, d</w:t>
      </w:r>
      <w:r w:rsidR="003E2DA1" w:rsidRPr="00D12EC2">
        <w:rPr>
          <w:rFonts w:ascii="Palatino Linotype" w:hAnsi="Palatino Linotype"/>
          <w:sz w:val="23"/>
          <w:szCs w:val="23"/>
        </w:rPr>
        <w:t xml:space="preserve">esde nuestro punto de vista, el </w:t>
      </w:r>
      <w:r w:rsidR="003E2DA1" w:rsidRPr="00D12EC2">
        <w:rPr>
          <w:rFonts w:ascii="Palatino Linotype" w:hAnsi="Palatino Linotype" w:cs="Segoe UI"/>
          <w:sz w:val="23"/>
          <w:szCs w:val="23"/>
        </w:rPr>
        <w:t xml:space="preserve">derecho de acceso a la información encuentra límites en el propio texto constitucional, como lo es el derecho a la confidencialidad de los datos personales y que, en razón de ello, debe existir una armonización congruente con ese derecho fundamental y con los principios rectores de la función del Sujeto Obligado, lo cual encuentra sustento en las tesis jurisprudenciales emitidas por la Suprema corte de Justicia de la Nación, que son del literal siguiente: </w:t>
      </w:r>
    </w:p>
    <w:p w:rsidR="003E2DA1" w:rsidRPr="00D12EC2" w:rsidRDefault="003E2DA1" w:rsidP="003E2DA1">
      <w:pPr>
        <w:autoSpaceDE w:val="0"/>
        <w:autoSpaceDN w:val="0"/>
        <w:adjustRightInd w:val="0"/>
        <w:spacing w:after="120" w:line="240" w:lineRule="auto"/>
        <w:ind w:left="851" w:right="992"/>
        <w:jc w:val="both"/>
        <w:rPr>
          <w:rFonts w:ascii="Palatino Linotype" w:eastAsia="Calibri" w:hAnsi="Palatino Linotype" w:cs="Arial"/>
          <w:i/>
          <w:sz w:val="21"/>
          <w:szCs w:val="21"/>
          <w:lang w:val="es-ES"/>
        </w:rPr>
      </w:pPr>
      <w:r w:rsidRPr="00D12EC2">
        <w:rPr>
          <w:rFonts w:ascii="Palatino Linotype" w:eastAsia="Calibri" w:hAnsi="Palatino Linotype" w:cs="Arial"/>
          <w:b/>
          <w:bCs/>
          <w:i/>
          <w:sz w:val="21"/>
          <w:szCs w:val="21"/>
          <w:lang w:val="es-ES"/>
        </w:rPr>
        <w:t xml:space="preserve">“DERECHO A LA INFORMACIÓN. SU EJERCICIO SE ENCUENTRA LIMITADO TANTO POR LOS INTERESES NACIONALES Y DE LA SOCIEDAD, COMO POR LOS DERECHOS DE TERCEROS. </w:t>
      </w:r>
      <w:r w:rsidRPr="00D12EC2">
        <w:rPr>
          <w:rFonts w:ascii="Palatino Linotype" w:eastAsia="Calibri" w:hAnsi="Palatino Linotype" w:cs="Arial"/>
          <w:i/>
          <w:sz w:val="21"/>
          <w:szCs w:val="21"/>
          <w:lang w:val="es-ES"/>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w:t>
      </w:r>
      <w:r w:rsidRPr="00D12EC2">
        <w:rPr>
          <w:rFonts w:ascii="Palatino Linotype" w:eastAsia="Calibri" w:hAnsi="Palatino Linotype" w:cs="Arial"/>
          <w:i/>
          <w:sz w:val="21"/>
          <w:szCs w:val="21"/>
          <w:lang w:val="es-ES"/>
        </w:rPr>
        <w:lastRenderedPageBreak/>
        <w:t>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rsidR="003E2DA1" w:rsidRPr="00D12EC2" w:rsidRDefault="003E2DA1" w:rsidP="003E2DA1">
      <w:pPr>
        <w:shd w:val="clear" w:color="auto" w:fill="FFFFFF"/>
        <w:ind w:left="851" w:right="902"/>
        <w:jc w:val="both"/>
        <w:rPr>
          <w:sz w:val="21"/>
          <w:szCs w:val="21"/>
          <w:lang w:eastAsia="es-MX"/>
        </w:rPr>
      </w:pPr>
      <w:r w:rsidRPr="00D12EC2">
        <w:rPr>
          <w:rFonts w:ascii="Palatino Linotype" w:hAnsi="Palatino Linotype"/>
          <w:b/>
          <w:bCs/>
          <w:i/>
          <w:iCs/>
          <w:sz w:val="21"/>
          <w:szCs w:val="21"/>
          <w:lang w:eastAsia="es-MX"/>
        </w:rPr>
        <w:t xml:space="preserve"> </w:t>
      </w:r>
    </w:p>
    <w:p w:rsidR="003E2DA1" w:rsidRPr="00D12EC2" w:rsidRDefault="003E2DA1" w:rsidP="003E2DA1">
      <w:pPr>
        <w:shd w:val="clear" w:color="auto" w:fill="FFFFFF"/>
        <w:ind w:left="851" w:right="902"/>
        <w:jc w:val="both"/>
        <w:rPr>
          <w:sz w:val="21"/>
          <w:szCs w:val="21"/>
          <w:lang w:eastAsia="es-MX"/>
        </w:rPr>
      </w:pPr>
      <w:r w:rsidRPr="00D12EC2">
        <w:rPr>
          <w:rFonts w:ascii="Palatino Linotype" w:hAnsi="Palatino Linotype"/>
          <w:b/>
          <w:bCs/>
          <w:i/>
          <w:iCs/>
          <w:sz w:val="21"/>
          <w:szCs w:val="21"/>
          <w:lang w:eastAsia="es-MX"/>
        </w:rPr>
        <w:t>“TRANSPARENCIA Y ACCESO A LA INFORMACIÓN PÚBLICA GUBERNAMENTAL. EL ARTÍCULO 14, FRACCIÓN I, DE LA LEY FEDERAL RELATIVA, NO VIOLA LA GARANTÍA DE ACCESO A LA INFORMACIÓN.</w:t>
      </w:r>
      <w:r w:rsidRPr="00D12EC2">
        <w:rPr>
          <w:rFonts w:ascii="Palatino Linotype" w:hAnsi="Palatino Linotype"/>
          <w:i/>
          <w:iCs/>
          <w:sz w:val="21"/>
          <w:szCs w:val="21"/>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D12EC2">
        <w:rPr>
          <w:rFonts w:ascii="Palatino Linotype" w:hAnsi="Palatino Linotype"/>
          <w:b/>
          <w:bCs/>
          <w:i/>
          <w:iCs/>
          <w:sz w:val="21"/>
          <w:szCs w:val="21"/>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D12EC2">
        <w:rPr>
          <w:rFonts w:ascii="Palatino Linotype" w:hAnsi="Palatino Linotype"/>
          <w:i/>
          <w:iCs/>
          <w:sz w:val="21"/>
          <w:szCs w:val="21"/>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rsidR="003E2DA1" w:rsidRPr="00D12EC2" w:rsidRDefault="003E2DA1" w:rsidP="003E2DA1">
      <w:pPr>
        <w:shd w:val="clear" w:color="auto" w:fill="FFFFFF"/>
        <w:ind w:left="851" w:right="902"/>
        <w:jc w:val="both"/>
        <w:rPr>
          <w:sz w:val="21"/>
          <w:szCs w:val="21"/>
          <w:lang w:eastAsia="es-MX"/>
        </w:rPr>
      </w:pPr>
    </w:p>
    <w:p w:rsidR="002C5D65" w:rsidRDefault="002C5D65" w:rsidP="003E2DA1">
      <w:pPr>
        <w:spacing w:before="240" w:after="0" w:line="360" w:lineRule="auto"/>
        <w:jc w:val="both"/>
        <w:rPr>
          <w:rFonts w:ascii="Palatino Linotype" w:hAnsi="Palatino Linotype" w:cs="Arial"/>
          <w:sz w:val="23"/>
          <w:szCs w:val="23"/>
        </w:rPr>
      </w:pPr>
      <w:r>
        <w:rPr>
          <w:rFonts w:ascii="Palatino Linotype" w:hAnsi="Palatino Linotype" w:cs="Arial"/>
          <w:sz w:val="23"/>
          <w:szCs w:val="23"/>
        </w:rPr>
        <w:lastRenderedPageBreak/>
        <w:t xml:space="preserve">Lo anterior no sucede cuando se instruye la entrega </w:t>
      </w:r>
      <w:r w:rsidR="00177FB6">
        <w:rPr>
          <w:rFonts w:ascii="Palatino Linotype" w:hAnsi="Palatino Linotype" w:cs="Arial"/>
          <w:sz w:val="23"/>
          <w:szCs w:val="23"/>
        </w:rPr>
        <w:t>de los recibos de nómina testada el cargo que desempeñan</w:t>
      </w:r>
      <w:r>
        <w:rPr>
          <w:rFonts w:ascii="Palatino Linotype" w:hAnsi="Palatino Linotype" w:cs="Arial"/>
          <w:sz w:val="23"/>
          <w:szCs w:val="23"/>
        </w:rPr>
        <w:t xml:space="preserve">, toda vez que </w:t>
      </w:r>
      <w:r w:rsidR="00177FB6">
        <w:rPr>
          <w:rFonts w:ascii="Palatino Linotype" w:hAnsi="Palatino Linotype" w:cs="Arial"/>
          <w:sz w:val="23"/>
          <w:szCs w:val="23"/>
        </w:rPr>
        <w:t xml:space="preserve">los fundamentos que serán utilizados para clasificar la información, permitirán </w:t>
      </w:r>
      <w:r>
        <w:rPr>
          <w:rFonts w:ascii="Palatino Linotype" w:hAnsi="Palatino Linotype" w:cs="Arial"/>
          <w:sz w:val="23"/>
          <w:szCs w:val="23"/>
        </w:rPr>
        <w:t>obtene</w:t>
      </w:r>
      <w:r w:rsidR="00177FB6">
        <w:rPr>
          <w:rFonts w:ascii="Palatino Linotype" w:hAnsi="Palatino Linotype" w:cs="Arial"/>
          <w:sz w:val="23"/>
          <w:szCs w:val="23"/>
        </w:rPr>
        <w:t>r</w:t>
      </w:r>
      <w:r>
        <w:rPr>
          <w:rFonts w:ascii="Palatino Linotype" w:hAnsi="Palatino Linotype" w:cs="Arial"/>
          <w:sz w:val="23"/>
          <w:szCs w:val="23"/>
        </w:rPr>
        <w:t xml:space="preserve"> información necesaria para hacer el cruce de datos y obtener por descarte </w:t>
      </w:r>
      <w:r w:rsidR="00177FB6">
        <w:rPr>
          <w:rFonts w:ascii="Palatino Linotype" w:hAnsi="Palatino Linotype" w:cs="Arial"/>
          <w:sz w:val="23"/>
          <w:szCs w:val="23"/>
        </w:rPr>
        <w:t>si realizan</w:t>
      </w:r>
      <w:r>
        <w:rPr>
          <w:rFonts w:ascii="Palatino Linotype" w:hAnsi="Palatino Linotype" w:cs="Arial"/>
          <w:sz w:val="23"/>
          <w:szCs w:val="23"/>
        </w:rPr>
        <w:t xml:space="preserve"> funciones operativas, que justamente es lo que se pretende proteger, cuando </w:t>
      </w:r>
      <w:r w:rsidR="00767A99">
        <w:rPr>
          <w:rFonts w:ascii="Palatino Linotype" w:hAnsi="Palatino Linotype" w:cs="Arial"/>
          <w:sz w:val="23"/>
          <w:szCs w:val="23"/>
        </w:rPr>
        <w:t>e</w:t>
      </w:r>
      <w:r>
        <w:rPr>
          <w:rFonts w:ascii="Palatino Linotype" w:hAnsi="Palatino Linotype" w:cs="Arial"/>
          <w:sz w:val="23"/>
          <w:szCs w:val="23"/>
        </w:rPr>
        <w:t>l</w:t>
      </w:r>
      <w:r w:rsidR="00767A99">
        <w:rPr>
          <w:rFonts w:ascii="Palatino Linotype" w:hAnsi="Palatino Linotype" w:cs="Arial"/>
          <w:sz w:val="23"/>
          <w:szCs w:val="23"/>
        </w:rPr>
        <w:t xml:space="preserve"> Comisionado</w:t>
      </w:r>
      <w:r>
        <w:rPr>
          <w:rFonts w:ascii="Palatino Linotype" w:hAnsi="Palatino Linotype" w:cs="Arial"/>
          <w:sz w:val="23"/>
          <w:szCs w:val="23"/>
        </w:rPr>
        <w:t xml:space="preserve"> Ponente instruye la ent</w:t>
      </w:r>
      <w:r w:rsidR="00767A99">
        <w:rPr>
          <w:rFonts w:ascii="Palatino Linotype" w:hAnsi="Palatino Linotype" w:cs="Arial"/>
          <w:sz w:val="23"/>
          <w:szCs w:val="23"/>
        </w:rPr>
        <w:t>rega de la información en versión pública</w:t>
      </w:r>
      <w:r>
        <w:rPr>
          <w:rFonts w:ascii="Palatino Linotype" w:hAnsi="Palatino Linotype" w:cs="Arial"/>
          <w:sz w:val="23"/>
          <w:szCs w:val="23"/>
        </w:rPr>
        <w:t>.</w:t>
      </w:r>
    </w:p>
    <w:p w:rsidR="003E2DA1" w:rsidRDefault="003E2DA1" w:rsidP="003E2DA1">
      <w:pPr>
        <w:spacing w:before="240" w:after="0" w:line="360" w:lineRule="auto"/>
        <w:jc w:val="both"/>
        <w:rPr>
          <w:rFonts w:ascii="Palatino Linotype" w:hAnsi="Palatino Linotype" w:cs="Arial"/>
          <w:sz w:val="23"/>
          <w:szCs w:val="23"/>
        </w:rPr>
      </w:pPr>
      <w:r w:rsidRPr="00D12EC2">
        <w:rPr>
          <w:rFonts w:ascii="Palatino Linotype" w:hAnsi="Palatino Linotype" w:cs="Arial"/>
          <w:sz w:val="23"/>
          <w:szCs w:val="23"/>
        </w:rPr>
        <w:t>Por todo lo expuesto es que formulamos l</w:t>
      </w:r>
      <w:r w:rsidR="007169EC">
        <w:rPr>
          <w:rFonts w:ascii="Palatino Linotype" w:hAnsi="Palatino Linotype" w:cs="Arial"/>
          <w:sz w:val="23"/>
          <w:szCs w:val="23"/>
        </w:rPr>
        <w:t>a</w:t>
      </w:r>
      <w:r w:rsidRPr="00D12EC2">
        <w:rPr>
          <w:rFonts w:ascii="Palatino Linotype" w:hAnsi="Palatino Linotype" w:cs="Arial"/>
          <w:sz w:val="23"/>
          <w:szCs w:val="23"/>
        </w:rPr>
        <w:t xml:space="preserve"> presente </w:t>
      </w:r>
      <w:r w:rsidR="007169EC">
        <w:rPr>
          <w:rFonts w:ascii="Palatino Linotype" w:hAnsi="Palatino Linotype" w:cs="Arial"/>
          <w:sz w:val="23"/>
          <w:szCs w:val="23"/>
        </w:rPr>
        <w:t>opinión</w:t>
      </w:r>
      <w:r w:rsidRPr="00D12EC2">
        <w:rPr>
          <w:rFonts w:ascii="Palatino Linotype" w:hAnsi="Palatino Linotype" w:cs="Arial"/>
          <w:sz w:val="23"/>
          <w:szCs w:val="23"/>
        </w:rPr>
        <w:t xml:space="preserve"> particular concurrente, en los términos precisados. </w:t>
      </w:r>
    </w:p>
    <w:p w:rsidR="00AB4071" w:rsidRDefault="00AB4071" w:rsidP="003E2DA1">
      <w:pPr>
        <w:spacing w:before="240" w:after="0" w:line="360" w:lineRule="auto"/>
        <w:jc w:val="both"/>
        <w:rPr>
          <w:rFonts w:ascii="Palatino Linotype" w:hAnsi="Palatino Linotype" w:cs="Arial"/>
          <w:sz w:val="23"/>
          <w:szCs w:val="23"/>
        </w:rPr>
      </w:pPr>
    </w:p>
    <w:p w:rsidR="00AB4071" w:rsidRPr="00D12EC2" w:rsidRDefault="00AB4071" w:rsidP="003E2DA1">
      <w:pPr>
        <w:spacing w:before="240" w:after="0" w:line="360" w:lineRule="auto"/>
        <w:jc w:val="both"/>
        <w:rPr>
          <w:rFonts w:ascii="Palatino Linotype" w:hAnsi="Palatino Linotype" w:cs="Arial"/>
          <w:sz w:val="23"/>
          <w:szCs w:val="23"/>
        </w:rPr>
      </w:pPr>
    </w:p>
    <w:p w:rsidR="003E2DA1" w:rsidRDefault="003E2DA1" w:rsidP="003E2DA1"/>
    <w:tbl>
      <w:tblPr>
        <w:tblStyle w:val="Tablaconcuadrcula"/>
        <w:tblW w:w="0" w:type="auto"/>
        <w:tblLook w:val="04A0" w:firstRow="1" w:lastRow="0" w:firstColumn="1" w:lastColumn="0" w:noHBand="0" w:noVBand="1"/>
      </w:tblPr>
      <w:tblGrid>
        <w:gridCol w:w="4459"/>
        <w:gridCol w:w="4459"/>
      </w:tblGrid>
      <w:tr w:rsidR="00AB4071" w:rsidTr="00AB4071">
        <w:tc>
          <w:tcPr>
            <w:tcW w:w="4459" w:type="dxa"/>
            <w:tcBorders>
              <w:top w:val="nil"/>
              <w:left w:val="nil"/>
              <w:bottom w:val="nil"/>
              <w:right w:val="nil"/>
            </w:tcBorders>
          </w:tcPr>
          <w:p w:rsidR="00AB4071" w:rsidRDefault="00AB4071" w:rsidP="00AB4071">
            <w:pPr>
              <w:jc w:val="center"/>
              <w:rPr>
                <w:rFonts w:ascii="Palatino Linotype" w:hAnsi="Palatino Linotype" w:cs="Arial"/>
                <w:b/>
                <w:sz w:val="23"/>
                <w:szCs w:val="23"/>
              </w:rPr>
            </w:pPr>
            <w:r w:rsidRPr="00D12EC2">
              <w:rPr>
                <w:rFonts w:ascii="Palatino Linotype" w:hAnsi="Palatino Linotype" w:cs="Arial"/>
                <w:b/>
                <w:sz w:val="23"/>
                <w:szCs w:val="23"/>
              </w:rPr>
              <w:t>Javier Martínez Cruz</w:t>
            </w:r>
          </w:p>
          <w:p w:rsidR="00AB4071" w:rsidRDefault="00AB4071" w:rsidP="00AB4071">
            <w:pPr>
              <w:jc w:val="center"/>
              <w:rPr>
                <w:rFonts w:ascii="Palatino Linotype" w:hAnsi="Palatino Linotype" w:cs="Arial"/>
                <w:b/>
                <w:sz w:val="23"/>
                <w:szCs w:val="23"/>
              </w:rPr>
            </w:pPr>
            <w:r w:rsidRPr="00D12EC2">
              <w:rPr>
                <w:rFonts w:ascii="Palatino Linotype" w:hAnsi="Palatino Linotype" w:cs="Arial"/>
                <w:sz w:val="23"/>
                <w:szCs w:val="23"/>
              </w:rPr>
              <w:t>Comisionado</w:t>
            </w:r>
          </w:p>
          <w:p w:rsidR="00AB4071" w:rsidRDefault="00AB4071" w:rsidP="00AB4071">
            <w:pPr>
              <w:jc w:val="center"/>
              <w:rPr>
                <w:rFonts w:ascii="Palatino Linotype" w:hAnsi="Palatino Linotype" w:cs="Arial"/>
                <w:sz w:val="23"/>
                <w:szCs w:val="23"/>
              </w:rPr>
            </w:pPr>
            <w:r>
              <w:rPr>
                <w:rFonts w:ascii="Palatino Linotype" w:hAnsi="Palatino Linotype" w:cs="Arial"/>
                <w:sz w:val="23"/>
                <w:szCs w:val="23"/>
              </w:rPr>
              <w:t>(Rúbrica)</w:t>
            </w:r>
          </w:p>
          <w:p w:rsidR="00AB4071" w:rsidRDefault="00AB4071" w:rsidP="00AB4071">
            <w:pPr>
              <w:jc w:val="center"/>
            </w:pPr>
          </w:p>
        </w:tc>
        <w:tc>
          <w:tcPr>
            <w:tcW w:w="4459" w:type="dxa"/>
            <w:tcBorders>
              <w:top w:val="nil"/>
              <w:left w:val="nil"/>
              <w:bottom w:val="nil"/>
              <w:right w:val="nil"/>
            </w:tcBorders>
          </w:tcPr>
          <w:p w:rsidR="00AB4071" w:rsidRDefault="00AB4071" w:rsidP="00AB4071">
            <w:pPr>
              <w:jc w:val="center"/>
              <w:rPr>
                <w:rFonts w:ascii="Palatino Linotype" w:hAnsi="Palatino Linotype" w:cs="Arial"/>
                <w:b/>
                <w:sz w:val="23"/>
                <w:szCs w:val="23"/>
              </w:rPr>
            </w:pPr>
            <w:r w:rsidRPr="00D12EC2">
              <w:rPr>
                <w:rFonts w:ascii="Palatino Linotype" w:hAnsi="Palatino Linotype" w:cs="Arial"/>
                <w:b/>
                <w:sz w:val="23"/>
                <w:szCs w:val="23"/>
                <w:lang w:val="es-ES"/>
              </w:rPr>
              <w:t>Zulema Martínez Sánchez</w:t>
            </w:r>
          </w:p>
          <w:p w:rsidR="00AB4071" w:rsidRDefault="00AB4071" w:rsidP="00AB4071">
            <w:pPr>
              <w:jc w:val="center"/>
              <w:rPr>
                <w:rFonts w:ascii="Palatino Linotype" w:hAnsi="Palatino Linotype" w:cs="Arial"/>
                <w:sz w:val="23"/>
                <w:szCs w:val="23"/>
              </w:rPr>
            </w:pPr>
            <w:r w:rsidRPr="00D12EC2">
              <w:rPr>
                <w:rFonts w:ascii="Palatino Linotype" w:hAnsi="Palatino Linotype" w:cs="Arial"/>
                <w:sz w:val="23"/>
                <w:szCs w:val="23"/>
              </w:rPr>
              <w:t>Comisionada</w:t>
            </w:r>
          </w:p>
          <w:p w:rsidR="00AB4071" w:rsidRDefault="00AB4071" w:rsidP="00AB4071">
            <w:pPr>
              <w:jc w:val="center"/>
              <w:rPr>
                <w:rFonts w:ascii="Palatino Linotype" w:hAnsi="Palatino Linotype" w:cs="Arial"/>
                <w:sz w:val="23"/>
                <w:szCs w:val="23"/>
              </w:rPr>
            </w:pPr>
            <w:r>
              <w:rPr>
                <w:rFonts w:ascii="Palatino Linotype" w:hAnsi="Palatino Linotype" w:cs="Arial"/>
                <w:sz w:val="23"/>
                <w:szCs w:val="23"/>
              </w:rPr>
              <w:t>(Rúbrica)</w:t>
            </w:r>
          </w:p>
          <w:p w:rsidR="00AB4071" w:rsidRPr="00D12EC2" w:rsidRDefault="00AB4071" w:rsidP="00AB4071">
            <w:pPr>
              <w:jc w:val="center"/>
              <w:rPr>
                <w:rFonts w:ascii="Palatino Linotype" w:hAnsi="Palatino Linotype" w:cs="Arial"/>
                <w:b/>
                <w:sz w:val="23"/>
                <w:szCs w:val="23"/>
              </w:rPr>
            </w:pPr>
          </w:p>
          <w:p w:rsidR="00AB4071" w:rsidRDefault="00AB4071" w:rsidP="00AB4071">
            <w:pPr>
              <w:jc w:val="center"/>
            </w:pPr>
          </w:p>
        </w:tc>
      </w:tr>
      <w:tr w:rsidR="00AB4071" w:rsidTr="00AB4071">
        <w:tc>
          <w:tcPr>
            <w:tcW w:w="8918" w:type="dxa"/>
            <w:gridSpan w:val="2"/>
            <w:tcBorders>
              <w:top w:val="nil"/>
              <w:left w:val="nil"/>
              <w:bottom w:val="nil"/>
              <w:right w:val="nil"/>
            </w:tcBorders>
          </w:tcPr>
          <w:p w:rsidR="00AB4071" w:rsidRDefault="00AB4071" w:rsidP="00AB4071">
            <w:pPr>
              <w:jc w:val="center"/>
              <w:rPr>
                <w:rFonts w:ascii="Palatino Linotype" w:hAnsi="Palatino Linotype" w:cs="Arial"/>
                <w:b/>
                <w:sz w:val="23"/>
                <w:szCs w:val="23"/>
              </w:rPr>
            </w:pPr>
          </w:p>
          <w:p w:rsidR="00AB4071" w:rsidRDefault="00AB4071" w:rsidP="00AB4071">
            <w:pPr>
              <w:jc w:val="center"/>
              <w:rPr>
                <w:rFonts w:ascii="Palatino Linotype" w:hAnsi="Palatino Linotype" w:cs="Arial"/>
                <w:b/>
                <w:sz w:val="23"/>
                <w:szCs w:val="23"/>
              </w:rPr>
            </w:pPr>
          </w:p>
          <w:p w:rsidR="00AB4071" w:rsidRDefault="00AB4071" w:rsidP="00AB4071">
            <w:pPr>
              <w:jc w:val="center"/>
              <w:rPr>
                <w:rFonts w:ascii="Palatino Linotype" w:hAnsi="Palatino Linotype" w:cs="Arial"/>
                <w:b/>
                <w:sz w:val="23"/>
                <w:szCs w:val="23"/>
              </w:rPr>
            </w:pPr>
          </w:p>
          <w:p w:rsidR="00AB4071" w:rsidRDefault="00AB4071" w:rsidP="00AB4071">
            <w:pPr>
              <w:jc w:val="center"/>
            </w:pPr>
          </w:p>
        </w:tc>
      </w:tr>
    </w:tbl>
    <w:p w:rsidR="00AB4071" w:rsidRPr="00D12EC2" w:rsidRDefault="00AB4071" w:rsidP="00AB4071"/>
    <w:sectPr w:rsidR="00AB4071" w:rsidRPr="00D12EC2" w:rsidSect="00115CE3">
      <w:headerReference w:type="even" r:id="rId6"/>
      <w:headerReference w:type="default" r:id="rId7"/>
      <w:footerReference w:type="default" r:id="rId8"/>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1C11" w:rsidRDefault="003C1C11" w:rsidP="003E2DA1">
      <w:pPr>
        <w:spacing w:after="0" w:line="240" w:lineRule="auto"/>
      </w:pPr>
      <w:r>
        <w:separator/>
      </w:r>
    </w:p>
  </w:endnote>
  <w:endnote w:type="continuationSeparator" w:id="0">
    <w:p w:rsidR="003C1C11" w:rsidRDefault="003C1C11" w:rsidP="003E2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C9706F"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C2709">
      <w:rPr>
        <w:rFonts w:ascii="Arial" w:hAnsi="Arial" w:cs="Arial"/>
        <w:b/>
        <w:bCs/>
        <w:noProof/>
        <w:sz w:val="20"/>
        <w:szCs w:val="20"/>
      </w:rPr>
      <w:t>9</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C2709">
      <w:rPr>
        <w:rFonts w:ascii="Arial" w:hAnsi="Arial" w:cs="Arial"/>
        <w:b/>
        <w:bCs/>
        <w:noProof/>
        <w:sz w:val="20"/>
        <w:szCs w:val="20"/>
      </w:rPr>
      <w:t>9</w:t>
    </w:r>
    <w:r w:rsidRPr="00986599">
      <w:rPr>
        <w:rFonts w:ascii="Arial" w:hAnsi="Arial" w:cs="Arial"/>
        <w:b/>
        <w:bCs/>
        <w:sz w:val="20"/>
        <w:szCs w:val="20"/>
      </w:rPr>
      <w:fldChar w:fldCharType="end"/>
    </w:r>
  </w:p>
  <w:p w:rsidR="00D758BE" w:rsidRDefault="003C1C11"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1C11" w:rsidRDefault="003C1C11" w:rsidP="003E2DA1">
      <w:pPr>
        <w:spacing w:after="0" w:line="240" w:lineRule="auto"/>
      </w:pPr>
      <w:r>
        <w:separator/>
      </w:r>
    </w:p>
  </w:footnote>
  <w:footnote w:type="continuationSeparator" w:id="0">
    <w:p w:rsidR="003C1C11" w:rsidRDefault="003C1C11" w:rsidP="003E2D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C9706F">
    <w:pPr>
      <w:pStyle w:val="Encabezado"/>
    </w:pPr>
    <w:r>
      <w:rPr>
        <w:noProof/>
        <w:lang w:val="es-MX" w:eastAsia="es-MX"/>
      </w:rPr>
      <mc:AlternateContent>
        <mc:Choice Requires="wps">
          <w:drawing>
            <wp:anchor distT="0" distB="0" distL="114300" distR="114300" simplePos="0" relativeHeight="251659264" behindDoc="1" locked="0" layoutInCell="0" allowOverlap="1" wp14:anchorId="680B21C1" wp14:editId="0E1AD191">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C9706F"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80B21C1"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C9706F"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C9706F" w:rsidP="007263BB">
    <w:pPr>
      <w:pStyle w:val="Encabezado"/>
      <w:jc w:val="right"/>
      <w:rPr>
        <w:rFonts w:ascii="Arial" w:hAnsi="Arial" w:cs="Arial"/>
        <w:sz w:val="20"/>
        <w:szCs w:val="20"/>
      </w:rPr>
    </w:pPr>
    <w:r>
      <w:rPr>
        <w:noProof/>
        <w:lang w:val="es-MX" w:eastAsia="es-MX"/>
      </w:rPr>
      <w:drawing>
        <wp:anchor distT="0" distB="0" distL="114300" distR="114300" simplePos="0" relativeHeight="251660288" behindDoc="1" locked="0" layoutInCell="1" allowOverlap="1" wp14:anchorId="35E66318" wp14:editId="62746B21">
          <wp:simplePos x="0" y="0"/>
          <wp:positionH relativeFrom="column">
            <wp:posOffset>-1072967</wp:posOffset>
          </wp:positionH>
          <wp:positionV relativeFrom="paragraph">
            <wp:posOffset>-449906</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p>
  <w:p w:rsidR="00D758BE" w:rsidRDefault="003C1C11" w:rsidP="007263BB">
    <w:pPr>
      <w:pStyle w:val="Encabezado"/>
      <w:jc w:val="right"/>
      <w:rPr>
        <w:rFonts w:ascii="Arial" w:hAnsi="Arial" w:cs="Arial"/>
        <w:sz w:val="20"/>
        <w:szCs w:val="20"/>
      </w:rPr>
    </w:pPr>
  </w:p>
  <w:p w:rsidR="00D758BE" w:rsidRDefault="003C1C11" w:rsidP="007263BB">
    <w:pPr>
      <w:pStyle w:val="Encabezado"/>
      <w:jc w:val="right"/>
      <w:rPr>
        <w:rFonts w:ascii="Arial" w:hAnsi="Arial" w:cs="Arial"/>
        <w:sz w:val="20"/>
        <w:szCs w:val="20"/>
      </w:rPr>
    </w:pPr>
  </w:p>
  <w:p w:rsidR="00706042" w:rsidRPr="00563D0F" w:rsidRDefault="00D1734B" w:rsidP="007263BB">
    <w:pPr>
      <w:pStyle w:val="Encabezado"/>
      <w:jc w:val="right"/>
      <w:rPr>
        <w:rFonts w:ascii="Palatino Linotype" w:hAnsi="Palatino Linotype" w:cs="Arial"/>
        <w:b/>
        <w:sz w:val="20"/>
        <w:szCs w:val="20"/>
      </w:rPr>
    </w:pPr>
    <w:r>
      <w:rPr>
        <w:rFonts w:ascii="Palatino Linotype" w:hAnsi="Palatino Linotype" w:cs="Arial"/>
        <w:b/>
        <w:sz w:val="20"/>
        <w:szCs w:val="20"/>
      </w:rPr>
      <w:t>OPINIÓN</w:t>
    </w:r>
    <w:r w:rsidR="00C9706F">
      <w:rPr>
        <w:rFonts w:ascii="Palatino Linotype" w:hAnsi="Palatino Linotype" w:cs="Arial"/>
        <w:b/>
        <w:sz w:val="20"/>
        <w:szCs w:val="20"/>
      </w:rPr>
      <w:t xml:space="preserve"> PARTICULAR CONCURRENTE</w:t>
    </w:r>
  </w:p>
  <w:p w:rsidR="00EE5FB0" w:rsidRPr="00563D0F" w:rsidRDefault="00C9706F"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Pr>
        <w:rFonts w:ascii="Palatino Linotype" w:hAnsi="Palatino Linotype" w:cs="Arial"/>
        <w:b/>
        <w:sz w:val="20"/>
        <w:szCs w:val="20"/>
      </w:rPr>
      <w:t>0</w:t>
    </w:r>
    <w:r w:rsidR="00F85CEF">
      <w:rPr>
        <w:rFonts w:ascii="Palatino Linotype" w:hAnsi="Palatino Linotype" w:cs="Arial"/>
        <w:b/>
        <w:sz w:val="20"/>
        <w:szCs w:val="20"/>
      </w:rPr>
      <w:t>4393</w:t>
    </w:r>
    <w:r>
      <w:rPr>
        <w:rFonts w:ascii="Palatino Linotype" w:hAnsi="Palatino Linotype" w:cs="Arial"/>
        <w:b/>
        <w:sz w:val="20"/>
        <w:szCs w:val="20"/>
      </w:rPr>
      <w:t>/INFOEM/IP/RR/2018</w:t>
    </w:r>
  </w:p>
  <w:p w:rsidR="00D758BE" w:rsidRDefault="003C1C11" w:rsidP="007263BB">
    <w:pPr>
      <w:pStyle w:val="Encabezado"/>
      <w:jc w:val="right"/>
      <w:rPr>
        <w:rFonts w:ascii="Palatino Linotype" w:hAnsi="Palatino Linotype" w:cs="Arial"/>
        <w:sz w:val="20"/>
        <w:szCs w:val="20"/>
      </w:rPr>
    </w:pPr>
  </w:p>
  <w:p w:rsidR="00233AB2" w:rsidRDefault="003C1C11" w:rsidP="007263BB">
    <w:pPr>
      <w:pStyle w:val="Encabezado"/>
      <w:jc w:val="right"/>
      <w:rPr>
        <w:rFonts w:ascii="Palatino Linotype" w:hAnsi="Palatino Linotype"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DA1"/>
    <w:rsid w:val="00014214"/>
    <w:rsid w:val="000C14DA"/>
    <w:rsid w:val="000F4606"/>
    <w:rsid w:val="001263D7"/>
    <w:rsid w:val="00127698"/>
    <w:rsid w:val="00177FB6"/>
    <w:rsid w:val="001E3290"/>
    <w:rsid w:val="001E655D"/>
    <w:rsid w:val="002C5D65"/>
    <w:rsid w:val="0030741A"/>
    <w:rsid w:val="00381ADE"/>
    <w:rsid w:val="003C1C11"/>
    <w:rsid w:val="003E2DA1"/>
    <w:rsid w:val="0046721B"/>
    <w:rsid w:val="00472456"/>
    <w:rsid w:val="004A2211"/>
    <w:rsid w:val="004B7A7C"/>
    <w:rsid w:val="004C2709"/>
    <w:rsid w:val="004E0039"/>
    <w:rsid w:val="00525289"/>
    <w:rsid w:val="005463EF"/>
    <w:rsid w:val="005943FF"/>
    <w:rsid w:val="005A1CCF"/>
    <w:rsid w:val="00626F1F"/>
    <w:rsid w:val="00644DDA"/>
    <w:rsid w:val="006C48F1"/>
    <w:rsid w:val="006E30CD"/>
    <w:rsid w:val="006F0456"/>
    <w:rsid w:val="007169EC"/>
    <w:rsid w:val="00767A99"/>
    <w:rsid w:val="007E7E8E"/>
    <w:rsid w:val="0082307A"/>
    <w:rsid w:val="008447C4"/>
    <w:rsid w:val="0085031D"/>
    <w:rsid w:val="008E77F3"/>
    <w:rsid w:val="00937D9A"/>
    <w:rsid w:val="00941C6F"/>
    <w:rsid w:val="009808C5"/>
    <w:rsid w:val="00981499"/>
    <w:rsid w:val="0099040A"/>
    <w:rsid w:val="009A43D5"/>
    <w:rsid w:val="009B624B"/>
    <w:rsid w:val="00A229D2"/>
    <w:rsid w:val="00A74E28"/>
    <w:rsid w:val="00A8492C"/>
    <w:rsid w:val="00AB4071"/>
    <w:rsid w:val="00B4736F"/>
    <w:rsid w:val="00B47983"/>
    <w:rsid w:val="00B56C7E"/>
    <w:rsid w:val="00BF701C"/>
    <w:rsid w:val="00C96610"/>
    <w:rsid w:val="00C9706F"/>
    <w:rsid w:val="00CB7FF7"/>
    <w:rsid w:val="00D1734B"/>
    <w:rsid w:val="00D54DA1"/>
    <w:rsid w:val="00DE02AB"/>
    <w:rsid w:val="00E91BE3"/>
    <w:rsid w:val="00F00333"/>
    <w:rsid w:val="00F13CA5"/>
    <w:rsid w:val="00F85CEF"/>
    <w:rsid w:val="00FA76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4DCCF8-3EE7-4165-A5D9-053F0B353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DA1"/>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E2DA1"/>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3E2DA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E2DA1"/>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E2DA1"/>
    <w:rPr>
      <w:rFonts w:ascii="Times New Roman" w:eastAsia="Times New Roman" w:hAnsi="Times New Roman" w:cs="Times New Roman"/>
      <w:sz w:val="24"/>
      <w:szCs w:val="24"/>
      <w:lang w:val="es-ES" w:eastAsia="es-ES"/>
    </w:rPr>
  </w:style>
  <w:style w:type="paragraph" w:styleId="NormalWeb">
    <w:name w:val="Normal (Web)"/>
    <w:basedOn w:val="Normal"/>
    <w:uiPriority w:val="99"/>
    <w:rsid w:val="003E2DA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3E2DA1"/>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3E2DA1"/>
    <w:rPr>
      <w:b/>
      <w:bCs/>
    </w:rPr>
  </w:style>
  <w:style w:type="paragraph" w:styleId="Textodeglobo">
    <w:name w:val="Balloon Text"/>
    <w:basedOn w:val="Normal"/>
    <w:link w:val="TextodegloboCar"/>
    <w:uiPriority w:val="99"/>
    <w:semiHidden/>
    <w:unhideWhenUsed/>
    <w:rsid w:val="000F460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F4606"/>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A229D2"/>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29D2"/>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9</Pages>
  <Words>2345</Words>
  <Characters>12902</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38</cp:revision>
  <cp:lastPrinted>2019-02-18T18:37:00Z</cp:lastPrinted>
  <dcterms:created xsi:type="dcterms:W3CDTF">2018-12-14T18:22:00Z</dcterms:created>
  <dcterms:modified xsi:type="dcterms:W3CDTF">2019-04-09T17:36:00Z</dcterms:modified>
</cp:coreProperties>
</file>